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58D2E">
      <w:pPr>
        <w:spacing w:after="156" w:afterLines="50"/>
        <w:jc w:val="center"/>
        <w:rPr>
          <w:b/>
          <w:spacing w:val="24"/>
          <w:sz w:val="32"/>
          <w:szCs w:val="32"/>
        </w:rPr>
      </w:pPr>
      <w:r>
        <w:rPr>
          <w:b/>
          <w:spacing w:val="24"/>
          <w:sz w:val="32"/>
          <w:szCs w:val="32"/>
        </w:rPr>
        <w:t>乘客和载货电梯</w:t>
      </w:r>
      <w:r>
        <w:rPr>
          <w:rFonts w:hint="eastAsia"/>
          <w:b/>
          <w:spacing w:val="24"/>
          <w:sz w:val="32"/>
          <w:szCs w:val="32"/>
        </w:rPr>
        <w:t>补充试验</w:t>
      </w:r>
      <w:r>
        <w:rPr>
          <w:b/>
          <w:spacing w:val="24"/>
          <w:sz w:val="32"/>
          <w:szCs w:val="32"/>
        </w:rPr>
        <w:t>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4112"/>
        <w:gridCol w:w="708"/>
        <w:gridCol w:w="2561"/>
      </w:tblGrid>
      <w:tr w14:paraId="384F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4EB5E544">
            <w:pPr>
              <w:jc w:val="center"/>
              <w:rPr>
                <w:rFonts w:ascii="Arial" w:hAnsi="Arial" w:cs="Arial"/>
                <w:b/>
                <w:sz w:val="24"/>
                <w:szCs w:val="24"/>
              </w:rPr>
            </w:pPr>
            <w:r>
              <w:rPr>
                <w:rFonts w:hint="eastAsia" w:ascii="Arial" w:hAnsi="Arial" w:cs="Arial"/>
                <w:b/>
                <w:sz w:val="24"/>
                <w:szCs w:val="24"/>
              </w:rPr>
              <w:t>序号</w:t>
            </w:r>
          </w:p>
        </w:tc>
        <w:tc>
          <w:tcPr>
            <w:tcW w:w="5397" w:type="dxa"/>
            <w:gridSpan w:val="2"/>
            <w:tcBorders>
              <w:bottom w:val="single" w:color="auto" w:sz="8" w:space="0"/>
            </w:tcBorders>
            <w:vAlign w:val="center"/>
          </w:tcPr>
          <w:p w14:paraId="33294D73">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708" w:type="dxa"/>
            <w:vAlign w:val="center"/>
          </w:tcPr>
          <w:p w14:paraId="528D1642">
            <w:pPr>
              <w:jc w:val="center"/>
              <w:rPr>
                <w:rFonts w:ascii="Arial" w:hAnsi="Arial" w:cs="Arial"/>
                <w:b/>
                <w:sz w:val="24"/>
                <w:szCs w:val="24"/>
              </w:rPr>
            </w:pPr>
            <w:r>
              <w:rPr>
                <w:rFonts w:hint="eastAsia" w:ascii="Arial" w:hAnsi="Arial" w:cs="Arial"/>
                <w:b/>
                <w:sz w:val="24"/>
                <w:szCs w:val="24"/>
              </w:rPr>
              <w:t>齐全</w:t>
            </w:r>
          </w:p>
        </w:tc>
        <w:tc>
          <w:tcPr>
            <w:tcW w:w="2561" w:type="dxa"/>
            <w:vAlign w:val="center"/>
          </w:tcPr>
          <w:p w14:paraId="099BC7E2">
            <w:pPr>
              <w:jc w:val="center"/>
              <w:rPr>
                <w:rFonts w:ascii="Arial" w:hAnsi="Arial" w:cs="Arial"/>
                <w:b/>
                <w:sz w:val="24"/>
                <w:szCs w:val="24"/>
              </w:rPr>
            </w:pPr>
            <w:r>
              <w:rPr>
                <w:rFonts w:hint="eastAsia" w:ascii="Arial" w:hAnsi="Arial" w:cs="Arial"/>
                <w:b/>
                <w:sz w:val="24"/>
                <w:szCs w:val="24"/>
              </w:rPr>
              <w:t>备注</w:t>
            </w:r>
          </w:p>
        </w:tc>
      </w:tr>
      <w:tr w14:paraId="1A8A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6AFBE95E">
            <w:pPr>
              <w:jc w:val="center"/>
              <w:rPr>
                <w:rFonts w:ascii="Arial" w:hAnsi="Arial" w:cs="Arial"/>
                <w:sz w:val="24"/>
                <w:szCs w:val="24"/>
              </w:rPr>
            </w:pPr>
            <w:r>
              <w:rPr>
                <w:rFonts w:hint="eastAsia" w:ascii="Arial" w:hAnsi="Arial" w:cs="Arial"/>
                <w:sz w:val="24"/>
                <w:szCs w:val="24"/>
              </w:rPr>
              <w:t>1</w:t>
            </w:r>
          </w:p>
        </w:tc>
        <w:tc>
          <w:tcPr>
            <w:tcW w:w="5397" w:type="dxa"/>
            <w:gridSpan w:val="2"/>
            <w:tcBorders>
              <w:bottom w:val="single" w:color="auto" w:sz="8" w:space="0"/>
            </w:tcBorders>
            <w:vAlign w:val="center"/>
          </w:tcPr>
          <w:p w14:paraId="5D349F53">
            <w:pPr>
              <w:pStyle w:val="34"/>
              <w:spacing w:line="320" w:lineRule="exact"/>
              <w:ind w:firstLine="0" w:firstLineChars="0"/>
              <w:rPr>
                <w:rFonts w:ascii="Arial" w:hAnsi="Arial" w:cs="Arial"/>
                <w:b/>
                <w:szCs w:val="24"/>
              </w:rPr>
            </w:pPr>
            <w:r>
              <w:rPr>
                <w:rFonts w:ascii="Arial" w:hAnsi="Arial" w:eastAsia="宋体" w:cs="Arial"/>
                <w:spacing w:val="0"/>
                <w:kern w:val="2"/>
                <w:szCs w:val="24"/>
              </w:rPr>
              <w:t>乘客和载货电梯型式试验申请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708" w:type="dxa"/>
            <w:vAlign w:val="center"/>
          </w:tcPr>
          <w:p w14:paraId="46D12DCF">
            <w:pPr>
              <w:jc w:val="center"/>
              <w:rPr>
                <w:rFonts w:ascii="Arial" w:hAnsi="Arial" w:cs="Arial"/>
                <w:sz w:val="24"/>
                <w:szCs w:val="24"/>
              </w:rPr>
            </w:pPr>
          </w:p>
        </w:tc>
        <w:tc>
          <w:tcPr>
            <w:tcW w:w="2561" w:type="dxa"/>
            <w:vAlign w:val="center"/>
          </w:tcPr>
          <w:p w14:paraId="61D7454C">
            <w:pPr>
              <w:jc w:val="center"/>
              <w:rPr>
                <w:rFonts w:ascii="Arial" w:hAnsi="Arial" w:cs="Arial"/>
                <w:sz w:val="24"/>
                <w:szCs w:val="24"/>
              </w:rPr>
            </w:pPr>
            <w:r>
              <w:rPr>
                <w:rFonts w:hint="eastAsia" w:ascii="Arial" w:hAnsi="Arial" w:cs="Arial"/>
                <w:sz w:val="24"/>
                <w:szCs w:val="24"/>
              </w:rPr>
              <w:t>（本目录页）</w:t>
            </w:r>
          </w:p>
        </w:tc>
      </w:tr>
      <w:tr w14:paraId="45EA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C54255F">
            <w:pPr>
              <w:jc w:val="center"/>
              <w:rPr>
                <w:rFonts w:ascii="Arial" w:hAnsi="Arial" w:cs="Arial"/>
                <w:sz w:val="24"/>
                <w:szCs w:val="24"/>
              </w:rPr>
            </w:pPr>
            <w:r>
              <w:rPr>
                <w:rFonts w:hint="eastAsia" w:ascii="Arial" w:hAnsi="Arial" w:cs="Arial"/>
                <w:sz w:val="24"/>
                <w:szCs w:val="24"/>
              </w:rPr>
              <w:t>2</w:t>
            </w:r>
          </w:p>
        </w:tc>
        <w:tc>
          <w:tcPr>
            <w:tcW w:w="5397" w:type="dxa"/>
            <w:gridSpan w:val="2"/>
            <w:tcBorders>
              <w:bottom w:val="single" w:color="auto" w:sz="8" w:space="0"/>
            </w:tcBorders>
            <w:vAlign w:val="center"/>
          </w:tcPr>
          <w:p w14:paraId="532A97AF">
            <w:pPr>
              <w:rPr>
                <w:rFonts w:ascii="Arial" w:hAnsi="Arial" w:cs="Arial"/>
                <w:sz w:val="24"/>
                <w:szCs w:val="24"/>
              </w:rPr>
            </w:pPr>
            <w:r>
              <w:rPr>
                <w:rFonts w:hint="eastAsia" w:ascii="Arial" w:hAnsi="Arial" w:cs="Arial"/>
                <w:sz w:val="24"/>
                <w:szCs w:val="24"/>
              </w:rPr>
              <w:t>电梯型式试验申请表</w:t>
            </w:r>
          </w:p>
        </w:tc>
        <w:tc>
          <w:tcPr>
            <w:tcW w:w="708" w:type="dxa"/>
            <w:vAlign w:val="center"/>
          </w:tcPr>
          <w:p w14:paraId="2409FD2D">
            <w:pPr>
              <w:jc w:val="center"/>
              <w:rPr>
                <w:rFonts w:ascii="Arial" w:hAnsi="Arial" w:cs="Arial"/>
                <w:sz w:val="24"/>
                <w:szCs w:val="24"/>
              </w:rPr>
            </w:pPr>
          </w:p>
        </w:tc>
        <w:tc>
          <w:tcPr>
            <w:tcW w:w="2561" w:type="dxa"/>
            <w:vAlign w:val="center"/>
          </w:tcPr>
          <w:p w14:paraId="2E4270B4">
            <w:pPr>
              <w:jc w:val="center"/>
              <w:rPr>
                <w:rFonts w:ascii="Arial" w:hAnsi="Arial" w:cs="Arial"/>
                <w:sz w:val="24"/>
                <w:szCs w:val="24"/>
              </w:rPr>
            </w:pPr>
          </w:p>
        </w:tc>
      </w:tr>
      <w:tr w14:paraId="5163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FB96B9D">
            <w:pPr>
              <w:jc w:val="center"/>
              <w:rPr>
                <w:rFonts w:ascii="Arial" w:hAnsi="Arial" w:cs="Arial"/>
                <w:sz w:val="24"/>
                <w:szCs w:val="24"/>
              </w:rPr>
            </w:pPr>
            <w:r>
              <w:rPr>
                <w:rFonts w:hint="eastAsia" w:ascii="Arial" w:hAnsi="Arial" w:cs="Arial"/>
                <w:sz w:val="24"/>
                <w:szCs w:val="24"/>
              </w:rPr>
              <w:t>3</w:t>
            </w:r>
          </w:p>
        </w:tc>
        <w:tc>
          <w:tcPr>
            <w:tcW w:w="5397" w:type="dxa"/>
            <w:gridSpan w:val="2"/>
            <w:tcBorders>
              <w:bottom w:val="single" w:color="auto" w:sz="8" w:space="0"/>
            </w:tcBorders>
            <w:vAlign w:val="center"/>
          </w:tcPr>
          <w:p w14:paraId="176254EF">
            <w:pPr>
              <w:rPr>
                <w:rFonts w:ascii="Arial" w:hAnsi="Arial" w:cs="Arial"/>
                <w:sz w:val="24"/>
                <w:szCs w:val="24"/>
              </w:rPr>
            </w:pPr>
            <w:r>
              <w:rPr>
                <w:rFonts w:hint="eastAsia" w:ascii="Arial" w:hAnsi="Arial" w:cs="Arial"/>
                <w:sz w:val="24"/>
                <w:szCs w:val="24"/>
              </w:rPr>
              <w:t>营业执照、□生产许可证 □制造许可受理决定书</w:t>
            </w:r>
          </w:p>
        </w:tc>
        <w:tc>
          <w:tcPr>
            <w:tcW w:w="708" w:type="dxa"/>
            <w:vAlign w:val="center"/>
          </w:tcPr>
          <w:p w14:paraId="326101B5">
            <w:pPr>
              <w:jc w:val="center"/>
              <w:rPr>
                <w:rFonts w:ascii="Arial" w:hAnsi="Arial" w:cs="Arial"/>
                <w:sz w:val="24"/>
                <w:szCs w:val="24"/>
              </w:rPr>
            </w:pPr>
          </w:p>
        </w:tc>
        <w:tc>
          <w:tcPr>
            <w:tcW w:w="2561" w:type="dxa"/>
            <w:vAlign w:val="center"/>
          </w:tcPr>
          <w:p w14:paraId="4E8B4F06">
            <w:pPr>
              <w:jc w:val="center"/>
              <w:rPr>
                <w:rFonts w:ascii="Arial" w:hAnsi="Arial" w:cs="Arial"/>
                <w:sz w:val="24"/>
                <w:szCs w:val="24"/>
              </w:rPr>
            </w:pPr>
            <w:r>
              <w:rPr>
                <w:rFonts w:hint="eastAsia" w:ascii="Arial" w:hAnsi="Arial" w:cs="Arial"/>
                <w:sz w:val="24"/>
                <w:szCs w:val="24"/>
              </w:rPr>
              <w:t>无变化则不需要</w:t>
            </w:r>
          </w:p>
        </w:tc>
      </w:tr>
      <w:tr w14:paraId="09DB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71C9FB42">
            <w:pPr>
              <w:jc w:val="center"/>
              <w:rPr>
                <w:rFonts w:ascii="Arial" w:hAnsi="Arial" w:cs="Arial"/>
                <w:sz w:val="24"/>
                <w:szCs w:val="24"/>
              </w:rPr>
            </w:pPr>
            <w:r>
              <w:rPr>
                <w:rFonts w:hint="eastAsia" w:ascii="Arial" w:hAnsi="Arial" w:cs="Arial"/>
                <w:sz w:val="24"/>
                <w:szCs w:val="24"/>
              </w:rPr>
              <w:t>4</w:t>
            </w:r>
          </w:p>
        </w:tc>
        <w:tc>
          <w:tcPr>
            <w:tcW w:w="5397" w:type="dxa"/>
            <w:gridSpan w:val="2"/>
            <w:tcBorders>
              <w:bottom w:val="single" w:color="auto" w:sz="8" w:space="0"/>
            </w:tcBorders>
            <w:vAlign w:val="center"/>
          </w:tcPr>
          <w:p w14:paraId="6CB90816">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708" w:type="dxa"/>
            <w:vAlign w:val="center"/>
          </w:tcPr>
          <w:p w14:paraId="1178309A">
            <w:pPr>
              <w:jc w:val="center"/>
              <w:rPr>
                <w:rFonts w:ascii="Arial" w:hAnsi="Arial" w:cs="Arial"/>
                <w:sz w:val="24"/>
                <w:szCs w:val="24"/>
              </w:rPr>
            </w:pPr>
          </w:p>
        </w:tc>
        <w:tc>
          <w:tcPr>
            <w:tcW w:w="2561" w:type="dxa"/>
            <w:vAlign w:val="center"/>
          </w:tcPr>
          <w:p w14:paraId="4AED3A1E">
            <w:pPr>
              <w:jc w:val="center"/>
              <w:rPr>
                <w:rFonts w:ascii="Arial" w:hAnsi="Arial" w:cs="Arial"/>
                <w:sz w:val="24"/>
                <w:szCs w:val="24"/>
              </w:rPr>
            </w:pPr>
            <w:r>
              <w:rPr>
                <w:rFonts w:hint="eastAsia" w:ascii="Arial" w:hAnsi="Arial" w:cs="Arial"/>
                <w:sz w:val="24"/>
                <w:szCs w:val="24"/>
              </w:rPr>
              <w:t>（境外制造单位）</w:t>
            </w:r>
          </w:p>
        </w:tc>
      </w:tr>
      <w:tr w14:paraId="640C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37AB0BC">
            <w:pPr>
              <w:jc w:val="center"/>
              <w:rPr>
                <w:rFonts w:ascii="Arial" w:hAnsi="Arial" w:cs="Arial"/>
                <w:sz w:val="24"/>
                <w:szCs w:val="24"/>
              </w:rPr>
            </w:pPr>
            <w:r>
              <w:rPr>
                <w:rFonts w:hint="eastAsia" w:ascii="Arial" w:hAnsi="Arial" w:cs="Arial"/>
                <w:sz w:val="24"/>
                <w:szCs w:val="24"/>
              </w:rPr>
              <w:t>5</w:t>
            </w:r>
          </w:p>
        </w:tc>
        <w:tc>
          <w:tcPr>
            <w:tcW w:w="5397" w:type="dxa"/>
            <w:gridSpan w:val="2"/>
            <w:tcBorders>
              <w:bottom w:val="single" w:color="auto" w:sz="8" w:space="0"/>
            </w:tcBorders>
            <w:vAlign w:val="center"/>
          </w:tcPr>
          <w:p w14:paraId="54DAF802">
            <w:pPr>
              <w:rPr>
                <w:rFonts w:ascii="Arial" w:hAnsi="Arial" w:cs="Arial"/>
                <w:sz w:val="24"/>
                <w:szCs w:val="24"/>
              </w:rPr>
            </w:pPr>
            <w:r>
              <w:rPr>
                <w:rFonts w:hint="eastAsia" w:ascii="Arial" w:hAnsi="Arial" w:cs="Arial"/>
                <w:sz w:val="24"/>
                <w:szCs w:val="24"/>
              </w:rPr>
              <w:t>使用单位同意文件、使用现场样机的施工告知</w:t>
            </w:r>
          </w:p>
        </w:tc>
        <w:tc>
          <w:tcPr>
            <w:tcW w:w="708" w:type="dxa"/>
            <w:vAlign w:val="center"/>
          </w:tcPr>
          <w:p w14:paraId="6F694B27">
            <w:pPr>
              <w:jc w:val="center"/>
              <w:rPr>
                <w:rFonts w:ascii="Arial" w:hAnsi="Arial" w:cs="Arial"/>
                <w:sz w:val="24"/>
                <w:szCs w:val="24"/>
              </w:rPr>
            </w:pPr>
          </w:p>
        </w:tc>
        <w:tc>
          <w:tcPr>
            <w:tcW w:w="2561" w:type="dxa"/>
            <w:vAlign w:val="center"/>
          </w:tcPr>
          <w:p w14:paraId="3574FC9F">
            <w:pPr>
              <w:jc w:val="center"/>
              <w:rPr>
                <w:rFonts w:ascii="Arial" w:hAnsi="Arial" w:cs="Arial"/>
                <w:sz w:val="24"/>
                <w:szCs w:val="24"/>
              </w:rPr>
            </w:pPr>
            <w:r>
              <w:rPr>
                <w:rFonts w:hint="eastAsia" w:ascii="Arial" w:hAnsi="Arial" w:cs="Arial"/>
                <w:sz w:val="24"/>
                <w:szCs w:val="24"/>
              </w:rPr>
              <w:t>（安装在使用现场）</w:t>
            </w:r>
          </w:p>
        </w:tc>
      </w:tr>
      <w:tr w14:paraId="4C770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3BA1E3D">
            <w:pPr>
              <w:jc w:val="center"/>
              <w:rPr>
                <w:rFonts w:ascii="Arial" w:hAnsi="Arial" w:cs="Arial"/>
                <w:sz w:val="24"/>
                <w:szCs w:val="24"/>
              </w:rPr>
            </w:pPr>
            <w:r>
              <w:rPr>
                <w:rFonts w:hint="eastAsia" w:ascii="Arial" w:hAnsi="Arial" w:cs="Arial"/>
                <w:sz w:val="24"/>
                <w:szCs w:val="24"/>
              </w:rPr>
              <w:t>6</w:t>
            </w:r>
          </w:p>
        </w:tc>
        <w:tc>
          <w:tcPr>
            <w:tcW w:w="5397" w:type="dxa"/>
            <w:gridSpan w:val="2"/>
            <w:tcBorders>
              <w:bottom w:val="single" w:color="auto" w:sz="8" w:space="0"/>
            </w:tcBorders>
            <w:vAlign w:val="center"/>
          </w:tcPr>
          <w:p w14:paraId="5626E3D9">
            <w:pPr>
              <w:rPr>
                <w:rFonts w:ascii="Arial" w:hAnsi="Arial" w:cs="Arial"/>
                <w:sz w:val="24"/>
                <w:szCs w:val="24"/>
              </w:rPr>
            </w:pPr>
            <w:r>
              <w:rPr>
                <w:rFonts w:hint="eastAsia" w:ascii="Arial" w:hAnsi="Arial" w:cs="Arial"/>
                <w:sz w:val="24"/>
                <w:szCs w:val="24"/>
              </w:rPr>
              <w:t>样机技术参数及配置表</w:t>
            </w:r>
          </w:p>
        </w:tc>
        <w:tc>
          <w:tcPr>
            <w:tcW w:w="708" w:type="dxa"/>
            <w:vAlign w:val="center"/>
          </w:tcPr>
          <w:p w14:paraId="2CFFE5EF">
            <w:pPr>
              <w:jc w:val="center"/>
              <w:rPr>
                <w:rFonts w:ascii="Arial" w:hAnsi="Arial" w:cs="Arial"/>
                <w:sz w:val="24"/>
                <w:szCs w:val="24"/>
              </w:rPr>
            </w:pPr>
          </w:p>
        </w:tc>
        <w:tc>
          <w:tcPr>
            <w:tcW w:w="2561" w:type="dxa"/>
            <w:vAlign w:val="center"/>
          </w:tcPr>
          <w:p w14:paraId="7024BD17">
            <w:pPr>
              <w:jc w:val="center"/>
              <w:rPr>
                <w:rFonts w:ascii="Arial" w:hAnsi="Arial" w:cs="Arial"/>
                <w:sz w:val="24"/>
                <w:szCs w:val="24"/>
              </w:rPr>
            </w:pPr>
            <w:r>
              <w:rPr>
                <w:rFonts w:hint="eastAsia" w:ascii="Arial" w:hAnsi="Arial" w:cs="Arial"/>
                <w:sz w:val="24"/>
                <w:szCs w:val="24"/>
              </w:rPr>
              <w:t>详见附表</w:t>
            </w:r>
          </w:p>
        </w:tc>
      </w:tr>
      <w:tr w14:paraId="5073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restart"/>
            <w:tcMar>
              <w:left w:w="57" w:type="dxa"/>
              <w:right w:w="57" w:type="dxa"/>
            </w:tcMar>
            <w:vAlign w:val="center"/>
          </w:tcPr>
          <w:p w14:paraId="6B909589">
            <w:pPr>
              <w:jc w:val="center"/>
              <w:rPr>
                <w:rFonts w:ascii="Arial" w:hAnsi="Arial" w:cs="Arial"/>
                <w:sz w:val="24"/>
                <w:szCs w:val="24"/>
              </w:rPr>
            </w:pPr>
            <w:r>
              <w:rPr>
                <w:rFonts w:ascii="Arial" w:hAnsi="Arial" w:cs="Arial"/>
                <w:sz w:val="24"/>
                <w:szCs w:val="24"/>
              </w:rPr>
              <w:t>7</w:t>
            </w:r>
          </w:p>
        </w:tc>
        <w:tc>
          <w:tcPr>
            <w:tcW w:w="5397" w:type="dxa"/>
            <w:gridSpan w:val="2"/>
            <w:tcBorders>
              <w:bottom w:val="single" w:color="auto" w:sz="8" w:space="0"/>
            </w:tcBorders>
            <w:vAlign w:val="center"/>
          </w:tcPr>
          <w:p w14:paraId="24C59D23">
            <w:pPr>
              <w:rPr>
                <w:rFonts w:ascii="Arial" w:hAnsi="Arial" w:cs="Arial"/>
                <w:sz w:val="24"/>
                <w:szCs w:val="24"/>
              </w:rPr>
            </w:pPr>
            <w:r>
              <w:rPr>
                <w:rFonts w:ascii="Arial" w:cs="Arial"/>
                <w:sz w:val="24"/>
                <w:szCs w:val="24"/>
              </w:rPr>
              <w:t>产品合格证明及说明文件</w:t>
            </w:r>
          </w:p>
        </w:tc>
        <w:tc>
          <w:tcPr>
            <w:tcW w:w="708" w:type="dxa"/>
            <w:vAlign w:val="center"/>
          </w:tcPr>
          <w:p w14:paraId="4C29FEA3">
            <w:pPr>
              <w:jc w:val="center"/>
              <w:rPr>
                <w:rFonts w:ascii="Arial" w:hAnsi="Arial" w:cs="Arial"/>
                <w:sz w:val="24"/>
                <w:szCs w:val="24"/>
              </w:rPr>
            </w:pPr>
          </w:p>
        </w:tc>
        <w:tc>
          <w:tcPr>
            <w:tcW w:w="2561" w:type="dxa"/>
            <w:vMerge w:val="restart"/>
            <w:vAlign w:val="center"/>
          </w:tcPr>
          <w:p w14:paraId="021A9287">
            <w:pPr>
              <w:jc w:val="center"/>
              <w:rPr>
                <w:rFonts w:ascii="Arial" w:hAnsi="Arial" w:cs="Arial"/>
                <w:szCs w:val="21"/>
              </w:rPr>
            </w:pPr>
            <w:r>
              <w:rPr>
                <w:rFonts w:hint="eastAsia" w:ascii="Arial" w:hAnsi="Arial" w:cs="Arial"/>
                <w:sz w:val="24"/>
                <w:szCs w:val="24"/>
              </w:rPr>
              <w:t>详见附录</w:t>
            </w:r>
          </w:p>
        </w:tc>
      </w:tr>
      <w:tr w14:paraId="70BE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C56D4E4">
            <w:pPr>
              <w:jc w:val="center"/>
              <w:rPr>
                <w:rFonts w:ascii="Arial" w:hAnsi="Arial" w:cs="Arial"/>
                <w:sz w:val="24"/>
                <w:szCs w:val="24"/>
              </w:rPr>
            </w:pPr>
          </w:p>
        </w:tc>
        <w:tc>
          <w:tcPr>
            <w:tcW w:w="5397" w:type="dxa"/>
            <w:gridSpan w:val="2"/>
            <w:tcBorders>
              <w:bottom w:val="single" w:color="auto" w:sz="8" w:space="0"/>
            </w:tcBorders>
            <w:vAlign w:val="center"/>
          </w:tcPr>
          <w:p w14:paraId="7A31E2AD">
            <w:pPr>
              <w:rPr>
                <w:rFonts w:ascii="Arial" w:hAnsi="Arial" w:cs="Arial"/>
                <w:sz w:val="24"/>
                <w:szCs w:val="24"/>
              </w:rPr>
            </w:pPr>
            <w:r>
              <w:rPr>
                <w:rFonts w:ascii="Arial" w:cs="Arial"/>
                <w:sz w:val="24"/>
                <w:szCs w:val="24"/>
              </w:rPr>
              <w:t>设计计算书</w:t>
            </w:r>
          </w:p>
        </w:tc>
        <w:tc>
          <w:tcPr>
            <w:tcW w:w="708" w:type="dxa"/>
            <w:vAlign w:val="center"/>
          </w:tcPr>
          <w:p w14:paraId="66D1FB5C">
            <w:pPr>
              <w:jc w:val="center"/>
              <w:rPr>
                <w:rFonts w:ascii="Arial" w:hAnsi="Arial" w:cs="Arial"/>
                <w:sz w:val="24"/>
                <w:szCs w:val="24"/>
              </w:rPr>
            </w:pPr>
          </w:p>
        </w:tc>
        <w:tc>
          <w:tcPr>
            <w:tcW w:w="2561" w:type="dxa"/>
            <w:vMerge w:val="continue"/>
            <w:vAlign w:val="center"/>
          </w:tcPr>
          <w:p w14:paraId="20A4E3A6">
            <w:pPr>
              <w:jc w:val="center"/>
              <w:rPr>
                <w:rFonts w:ascii="Arial" w:hAnsi="Arial" w:cs="Arial"/>
                <w:szCs w:val="21"/>
              </w:rPr>
            </w:pPr>
          </w:p>
        </w:tc>
      </w:tr>
      <w:tr w14:paraId="75AB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546111D">
            <w:pPr>
              <w:jc w:val="center"/>
              <w:rPr>
                <w:rFonts w:ascii="Arial" w:hAnsi="Arial" w:cs="Arial"/>
                <w:sz w:val="24"/>
                <w:szCs w:val="24"/>
              </w:rPr>
            </w:pPr>
          </w:p>
        </w:tc>
        <w:tc>
          <w:tcPr>
            <w:tcW w:w="5397" w:type="dxa"/>
            <w:gridSpan w:val="2"/>
            <w:tcBorders>
              <w:bottom w:val="single" w:color="auto" w:sz="8" w:space="0"/>
            </w:tcBorders>
            <w:vAlign w:val="center"/>
          </w:tcPr>
          <w:p w14:paraId="2C0B5E07">
            <w:pPr>
              <w:rPr>
                <w:rFonts w:ascii="Arial" w:hAnsi="Arial" w:cs="Arial"/>
                <w:sz w:val="24"/>
                <w:szCs w:val="24"/>
              </w:rPr>
            </w:pPr>
            <w:r>
              <w:rPr>
                <w:rFonts w:ascii="Arial" w:cs="Arial"/>
                <w:sz w:val="24"/>
                <w:szCs w:val="24"/>
              </w:rPr>
              <w:t>主要设计图样</w:t>
            </w:r>
          </w:p>
        </w:tc>
        <w:tc>
          <w:tcPr>
            <w:tcW w:w="708" w:type="dxa"/>
            <w:vAlign w:val="center"/>
          </w:tcPr>
          <w:p w14:paraId="4B22F9E0">
            <w:pPr>
              <w:jc w:val="center"/>
              <w:rPr>
                <w:rFonts w:ascii="Arial" w:hAnsi="Arial" w:cs="Arial"/>
                <w:sz w:val="24"/>
                <w:szCs w:val="24"/>
              </w:rPr>
            </w:pPr>
          </w:p>
        </w:tc>
        <w:tc>
          <w:tcPr>
            <w:tcW w:w="2561" w:type="dxa"/>
            <w:vMerge w:val="continue"/>
            <w:vAlign w:val="center"/>
          </w:tcPr>
          <w:p w14:paraId="17D8DD38">
            <w:pPr>
              <w:jc w:val="center"/>
              <w:rPr>
                <w:rFonts w:ascii="Arial" w:hAnsi="Arial" w:cs="Arial"/>
                <w:szCs w:val="21"/>
              </w:rPr>
            </w:pPr>
          </w:p>
        </w:tc>
      </w:tr>
      <w:tr w14:paraId="72995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DADA76E">
            <w:pPr>
              <w:jc w:val="center"/>
              <w:rPr>
                <w:rFonts w:ascii="Arial" w:hAnsi="Arial" w:cs="Arial"/>
                <w:sz w:val="24"/>
                <w:szCs w:val="24"/>
              </w:rPr>
            </w:pPr>
          </w:p>
        </w:tc>
        <w:tc>
          <w:tcPr>
            <w:tcW w:w="1285" w:type="dxa"/>
            <w:vMerge w:val="restart"/>
            <w:vAlign w:val="center"/>
          </w:tcPr>
          <w:p w14:paraId="19FD0CA4">
            <w:pPr>
              <w:rPr>
                <w:rFonts w:ascii="Arial" w:hAnsi="Arial" w:cs="Arial"/>
                <w:sz w:val="24"/>
                <w:szCs w:val="24"/>
              </w:rPr>
            </w:pPr>
            <w:r>
              <w:rPr>
                <w:rFonts w:ascii="Arial" w:cs="Arial"/>
                <w:sz w:val="24"/>
                <w:szCs w:val="24"/>
              </w:rPr>
              <w:t>部件证明文件</w:t>
            </w:r>
          </w:p>
        </w:tc>
        <w:tc>
          <w:tcPr>
            <w:tcW w:w="4112" w:type="dxa"/>
            <w:tcBorders>
              <w:bottom w:val="single" w:color="auto" w:sz="8" w:space="0"/>
            </w:tcBorders>
            <w:vAlign w:val="center"/>
          </w:tcPr>
          <w:p w14:paraId="1BDAB5B7">
            <w:pPr>
              <w:rPr>
                <w:rFonts w:ascii="Arial" w:hAnsi="Arial" w:cs="Arial"/>
                <w:sz w:val="24"/>
                <w:szCs w:val="24"/>
              </w:rPr>
            </w:pPr>
            <w:r>
              <w:rPr>
                <w:rFonts w:hint="eastAsia" w:ascii="Arial" w:hAnsi="Arial" w:cs="Arial"/>
                <w:sz w:val="24"/>
                <w:szCs w:val="24"/>
              </w:rPr>
              <w:t>(1)</w:t>
            </w:r>
            <w:r>
              <w:rPr>
                <w:rFonts w:ascii="Arial" w:cs="Arial"/>
                <w:sz w:val="24"/>
                <w:szCs w:val="24"/>
              </w:rPr>
              <w:t>型式试验证明文件</w:t>
            </w:r>
          </w:p>
        </w:tc>
        <w:tc>
          <w:tcPr>
            <w:tcW w:w="708" w:type="dxa"/>
            <w:vAlign w:val="center"/>
          </w:tcPr>
          <w:p w14:paraId="3079E18F">
            <w:pPr>
              <w:jc w:val="center"/>
              <w:rPr>
                <w:rFonts w:ascii="Arial" w:hAnsi="Arial" w:cs="Arial"/>
                <w:sz w:val="24"/>
                <w:szCs w:val="24"/>
              </w:rPr>
            </w:pPr>
          </w:p>
        </w:tc>
        <w:tc>
          <w:tcPr>
            <w:tcW w:w="2561" w:type="dxa"/>
            <w:vMerge w:val="continue"/>
            <w:vAlign w:val="center"/>
          </w:tcPr>
          <w:p w14:paraId="4ECEE7A4">
            <w:pPr>
              <w:jc w:val="center"/>
              <w:rPr>
                <w:rFonts w:ascii="Arial" w:hAnsi="Arial" w:cs="Arial"/>
                <w:szCs w:val="21"/>
              </w:rPr>
            </w:pPr>
          </w:p>
        </w:tc>
      </w:tr>
      <w:tr w14:paraId="7BE7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09F8A03">
            <w:pPr>
              <w:jc w:val="center"/>
              <w:rPr>
                <w:rFonts w:ascii="Arial" w:hAnsi="Arial" w:cs="Arial"/>
                <w:sz w:val="24"/>
                <w:szCs w:val="24"/>
              </w:rPr>
            </w:pPr>
          </w:p>
        </w:tc>
        <w:tc>
          <w:tcPr>
            <w:tcW w:w="1285" w:type="dxa"/>
            <w:vMerge w:val="continue"/>
            <w:vAlign w:val="center"/>
          </w:tcPr>
          <w:p w14:paraId="037E44AC">
            <w:pPr>
              <w:rPr>
                <w:rFonts w:ascii="Arial" w:hAnsi="Arial" w:cs="Arial"/>
                <w:sz w:val="24"/>
                <w:szCs w:val="24"/>
              </w:rPr>
            </w:pPr>
          </w:p>
        </w:tc>
        <w:tc>
          <w:tcPr>
            <w:tcW w:w="4112" w:type="dxa"/>
            <w:tcBorders>
              <w:bottom w:val="single" w:color="auto" w:sz="8" w:space="0"/>
            </w:tcBorders>
            <w:vAlign w:val="center"/>
          </w:tcPr>
          <w:p w14:paraId="1E1D3B13">
            <w:pPr>
              <w:rPr>
                <w:rFonts w:ascii="Arial" w:hAnsi="Arial" w:cs="Arial"/>
                <w:sz w:val="24"/>
                <w:szCs w:val="24"/>
              </w:rPr>
            </w:pPr>
            <w:r>
              <w:rPr>
                <w:rFonts w:hint="eastAsia" w:ascii="Arial" w:hAnsi="Arial" w:cs="Arial"/>
                <w:sz w:val="24"/>
                <w:szCs w:val="24"/>
              </w:rPr>
              <w:t>(2)</w:t>
            </w:r>
            <w:r>
              <w:rPr>
                <w:rFonts w:ascii="Arial" w:cs="Arial"/>
                <w:sz w:val="24"/>
                <w:szCs w:val="24"/>
              </w:rPr>
              <w:t>其他证明文件</w:t>
            </w:r>
          </w:p>
        </w:tc>
        <w:tc>
          <w:tcPr>
            <w:tcW w:w="708" w:type="dxa"/>
            <w:vAlign w:val="center"/>
          </w:tcPr>
          <w:p w14:paraId="62701CE7">
            <w:pPr>
              <w:jc w:val="center"/>
              <w:rPr>
                <w:rFonts w:ascii="Arial" w:hAnsi="Arial" w:cs="Arial"/>
                <w:sz w:val="24"/>
                <w:szCs w:val="24"/>
              </w:rPr>
            </w:pPr>
          </w:p>
        </w:tc>
        <w:tc>
          <w:tcPr>
            <w:tcW w:w="2561" w:type="dxa"/>
            <w:vMerge w:val="continue"/>
            <w:vAlign w:val="center"/>
          </w:tcPr>
          <w:p w14:paraId="0211B209">
            <w:pPr>
              <w:jc w:val="center"/>
              <w:rPr>
                <w:rFonts w:ascii="Arial" w:hAnsi="Arial" w:cs="Arial"/>
                <w:szCs w:val="21"/>
              </w:rPr>
            </w:pPr>
          </w:p>
        </w:tc>
      </w:tr>
      <w:tr w14:paraId="489A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2C4E071">
            <w:pPr>
              <w:jc w:val="center"/>
              <w:rPr>
                <w:rFonts w:ascii="Arial" w:hAnsi="Arial" w:cs="Arial"/>
                <w:sz w:val="24"/>
                <w:szCs w:val="24"/>
              </w:rPr>
            </w:pPr>
          </w:p>
        </w:tc>
        <w:tc>
          <w:tcPr>
            <w:tcW w:w="1285" w:type="dxa"/>
            <w:vMerge w:val="continue"/>
            <w:vAlign w:val="center"/>
          </w:tcPr>
          <w:p w14:paraId="35E33CAC">
            <w:pPr>
              <w:rPr>
                <w:rFonts w:ascii="Arial" w:hAnsi="Arial" w:cs="Arial"/>
                <w:sz w:val="24"/>
                <w:szCs w:val="24"/>
              </w:rPr>
            </w:pPr>
          </w:p>
        </w:tc>
        <w:tc>
          <w:tcPr>
            <w:tcW w:w="4112" w:type="dxa"/>
            <w:tcBorders>
              <w:bottom w:val="single" w:color="auto" w:sz="8" w:space="0"/>
            </w:tcBorders>
            <w:vAlign w:val="center"/>
          </w:tcPr>
          <w:p w14:paraId="699B625B">
            <w:pPr>
              <w:rPr>
                <w:rFonts w:hint="eastAsia" w:ascii="Arial" w:hAnsi="Arial" w:cs="Arial"/>
                <w:sz w:val="24"/>
                <w:szCs w:val="24"/>
              </w:rPr>
            </w:pPr>
            <w:r>
              <w:rPr>
                <w:rFonts w:hint="eastAsia" w:ascii="Arial" w:hAnsi="Arial" w:cs="Arial"/>
                <w:color w:val="000000"/>
                <w:sz w:val="24"/>
              </w:rPr>
              <w:t>(</w:t>
            </w:r>
            <w:r>
              <w:rPr>
                <w:rFonts w:ascii="Arial" w:hAnsi="Arial" w:cs="Arial"/>
                <w:color w:val="000000"/>
                <w:sz w:val="24"/>
              </w:rPr>
              <w:t>3)</w:t>
            </w:r>
            <w:r>
              <w:rPr>
                <w:rFonts w:hint="eastAsia" w:ascii="Arial" w:hAnsi="Arial" w:cs="Arial"/>
                <w:color w:val="000000"/>
                <w:sz w:val="24"/>
              </w:rPr>
              <w:t>防爆电梯部件</w:t>
            </w:r>
          </w:p>
        </w:tc>
        <w:tc>
          <w:tcPr>
            <w:tcW w:w="708" w:type="dxa"/>
            <w:vAlign w:val="center"/>
          </w:tcPr>
          <w:p w14:paraId="09192F07">
            <w:pPr>
              <w:jc w:val="center"/>
              <w:rPr>
                <w:rFonts w:ascii="Arial" w:hAnsi="Arial" w:cs="Arial"/>
                <w:sz w:val="24"/>
                <w:szCs w:val="24"/>
              </w:rPr>
            </w:pPr>
          </w:p>
        </w:tc>
        <w:tc>
          <w:tcPr>
            <w:tcW w:w="2561" w:type="dxa"/>
            <w:vMerge w:val="continue"/>
            <w:vAlign w:val="center"/>
          </w:tcPr>
          <w:p w14:paraId="262DDD96">
            <w:pPr>
              <w:jc w:val="center"/>
              <w:rPr>
                <w:rFonts w:ascii="Arial" w:hAnsi="Arial" w:cs="Arial"/>
                <w:szCs w:val="21"/>
              </w:rPr>
            </w:pPr>
          </w:p>
        </w:tc>
      </w:tr>
      <w:tr w14:paraId="6C98F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BF3133B">
            <w:pPr>
              <w:jc w:val="center"/>
              <w:rPr>
                <w:rFonts w:ascii="Arial" w:hAnsi="Arial" w:cs="Arial"/>
                <w:sz w:val="24"/>
                <w:szCs w:val="24"/>
              </w:rPr>
            </w:pPr>
          </w:p>
        </w:tc>
        <w:tc>
          <w:tcPr>
            <w:tcW w:w="1285" w:type="dxa"/>
            <w:vMerge w:val="restart"/>
            <w:vAlign w:val="center"/>
          </w:tcPr>
          <w:p w14:paraId="2735955A">
            <w:pPr>
              <w:rPr>
                <w:rFonts w:ascii="Arial" w:hAnsi="Arial" w:cs="Arial"/>
                <w:sz w:val="24"/>
                <w:szCs w:val="24"/>
              </w:rPr>
            </w:pPr>
            <w:r>
              <w:rPr>
                <w:rFonts w:ascii="Arial" w:hAnsi="Arial" w:cs="Arial"/>
                <w:sz w:val="24"/>
                <w:szCs w:val="24"/>
              </w:rPr>
              <w:t>机器设备间、井道</w:t>
            </w:r>
          </w:p>
        </w:tc>
        <w:tc>
          <w:tcPr>
            <w:tcW w:w="4112" w:type="dxa"/>
            <w:tcBorders>
              <w:bottom w:val="single" w:color="auto" w:sz="8" w:space="0"/>
            </w:tcBorders>
            <w:vAlign w:val="center"/>
          </w:tcPr>
          <w:p w14:paraId="4DAF6C25">
            <w:pPr>
              <w:rPr>
                <w:rFonts w:hint="eastAsia" w:ascii="Arial" w:hAnsi="Arial" w:cs="Arial"/>
                <w:color w:val="000000"/>
                <w:sz w:val="24"/>
              </w:rPr>
            </w:pPr>
            <w:r>
              <w:rPr>
                <w:rFonts w:hint="eastAsia" w:ascii="Arial" w:hAnsi="Arial" w:cs="Arial"/>
                <w:sz w:val="24"/>
                <w:szCs w:val="24"/>
              </w:rPr>
              <w:t>(1)</w:t>
            </w:r>
            <w:r>
              <w:rPr>
                <w:rFonts w:ascii="Arial" w:hAnsi="Arial" w:cs="Arial"/>
                <w:sz w:val="24"/>
                <w:szCs w:val="24"/>
              </w:rPr>
              <w:t>布置说明及图示</w:t>
            </w:r>
          </w:p>
        </w:tc>
        <w:tc>
          <w:tcPr>
            <w:tcW w:w="708" w:type="dxa"/>
            <w:vAlign w:val="center"/>
          </w:tcPr>
          <w:p w14:paraId="5DD4A819">
            <w:pPr>
              <w:jc w:val="center"/>
              <w:rPr>
                <w:rFonts w:ascii="Arial" w:hAnsi="Arial" w:cs="Arial"/>
                <w:sz w:val="24"/>
                <w:szCs w:val="24"/>
              </w:rPr>
            </w:pPr>
          </w:p>
        </w:tc>
        <w:tc>
          <w:tcPr>
            <w:tcW w:w="2561" w:type="dxa"/>
            <w:vMerge w:val="continue"/>
            <w:vAlign w:val="center"/>
          </w:tcPr>
          <w:p w14:paraId="4241AD0F">
            <w:pPr>
              <w:jc w:val="center"/>
              <w:rPr>
                <w:rFonts w:ascii="Arial" w:hAnsi="Arial" w:cs="Arial"/>
                <w:szCs w:val="21"/>
              </w:rPr>
            </w:pPr>
          </w:p>
        </w:tc>
      </w:tr>
      <w:tr w14:paraId="5287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3CD2475">
            <w:pPr>
              <w:jc w:val="center"/>
              <w:rPr>
                <w:rFonts w:ascii="Arial" w:hAnsi="Arial" w:cs="Arial"/>
                <w:sz w:val="24"/>
                <w:szCs w:val="24"/>
              </w:rPr>
            </w:pPr>
          </w:p>
        </w:tc>
        <w:tc>
          <w:tcPr>
            <w:tcW w:w="1285" w:type="dxa"/>
            <w:vMerge w:val="continue"/>
            <w:vAlign w:val="center"/>
          </w:tcPr>
          <w:p w14:paraId="2FFC8122">
            <w:pPr>
              <w:rPr>
                <w:rFonts w:ascii="Arial" w:hAnsi="Arial" w:cs="Arial"/>
                <w:sz w:val="24"/>
                <w:szCs w:val="24"/>
              </w:rPr>
            </w:pPr>
          </w:p>
        </w:tc>
        <w:tc>
          <w:tcPr>
            <w:tcW w:w="4112" w:type="dxa"/>
            <w:tcBorders>
              <w:bottom w:val="single" w:color="auto" w:sz="8" w:space="0"/>
            </w:tcBorders>
            <w:vAlign w:val="center"/>
          </w:tcPr>
          <w:p w14:paraId="04F2CD06">
            <w:pPr>
              <w:rPr>
                <w:rFonts w:hint="eastAsia" w:ascii="Arial" w:hAnsi="Arial" w:cs="Arial"/>
                <w:color w:val="000000"/>
                <w:sz w:val="24"/>
              </w:rPr>
            </w:pPr>
            <w:r>
              <w:rPr>
                <w:rFonts w:hint="eastAsia" w:ascii="Arial" w:hAnsi="Arial" w:cs="Arial"/>
                <w:sz w:val="24"/>
                <w:szCs w:val="24"/>
              </w:rPr>
              <w:t>(2)</w:t>
            </w:r>
            <w:r>
              <w:rPr>
                <w:rFonts w:ascii="Arial" w:hAnsi="Arial" w:cs="Arial"/>
                <w:sz w:val="24"/>
                <w:szCs w:val="24"/>
              </w:rPr>
              <w:t>结构受力</w:t>
            </w:r>
          </w:p>
        </w:tc>
        <w:tc>
          <w:tcPr>
            <w:tcW w:w="708" w:type="dxa"/>
            <w:vAlign w:val="center"/>
          </w:tcPr>
          <w:p w14:paraId="71B00038">
            <w:pPr>
              <w:jc w:val="center"/>
              <w:rPr>
                <w:rFonts w:ascii="Arial" w:hAnsi="Arial" w:cs="Arial"/>
                <w:sz w:val="24"/>
                <w:szCs w:val="24"/>
              </w:rPr>
            </w:pPr>
          </w:p>
        </w:tc>
        <w:tc>
          <w:tcPr>
            <w:tcW w:w="2561" w:type="dxa"/>
            <w:vMerge w:val="continue"/>
            <w:vAlign w:val="center"/>
          </w:tcPr>
          <w:p w14:paraId="08056885">
            <w:pPr>
              <w:jc w:val="center"/>
              <w:rPr>
                <w:rFonts w:ascii="Arial" w:hAnsi="Arial" w:cs="Arial"/>
                <w:szCs w:val="21"/>
              </w:rPr>
            </w:pPr>
          </w:p>
        </w:tc>
      </w:tr>
      <w:tr w14:paraId="68A7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3253C701">
            <w:pPr>
              <w:jc w:val="center"/>
              <w:rPr>
                <w:rFonts w:ascii="Arial" w:hAnsi="Arial" w:cs="Arial"/>
                <w:sz w:val="24"/>
                <w:szCs w:val="24"/>
              </w:rPr>
            </w:pPr>
          </w:p>
        </w:tc>
        <w:tc>
          <w:tcPr>
            <w:tcW w:w="1285" w:type="dxa"/>
            <w:vMerge w:val="continue"/>
            <w:vAlign w:val="center"/>
          </w:tcPr>
          <w:p w14:paraId="53062D15">
            <w:pPr>
              <w:rPr>
                <w:rFonts w:ascii="Arial" w:hAnsi="Arial" w:cs="Arial"/>
                <w:sz w:val="24"/>
                <w:szCs w:val="24"/>
              </w:rPr>
            </w:pPr>
          </w:p>
        </w:tc>
        <w:tc>
          <w:tcPr>
            <w:tcW w:w="4112" w:type="dxa"/>
            <w:tcBorders>
              <w:bottom w:val="single" w:color="auto" w:sz="8" w:space="0"/>
            </w:tcBorders>
            <w:vAlign w:val="center"/>
          </w:tcPr>
          <w:p w14:paraId="2EFC4F8E">
            <w:pPr>
              <w:rPr>
                <w:rFonts w:hint="eastAsia" w:ascii="Arial" w:hAnsi="Arial" w:cs="Arial"/>
                <w:color w:val="000000"/>
                <w:sz w:val="24"/>
              </w:rPr>
            </w:pPr>
            <w:r>
              <w:rPr>
                <w:rFonts w:hint="eastAsia" w:ascii="Arial" w:hAnsi="Arial" w:cs="Arial"/>
                <w:sz w:val="24"/>
                <w:szCs w:val="24"/>
              </w:rPr>
              <w:t>(3)</w:t>
            </w:r>
            <w:r>
              <w:rPr>
                <w:rFonts w:ascii="Arial" w:hAnsi="Arial" w:cs="Arial"/>
                <w:sz w:val="24"/>
                <w:szCs w:val="24"/>
              </w:rPr>
              <w:t>井道内各部件之间的间隙和保护</w:t>
            </w:r>
          </w:p>
        </w:tc>
        <w:tc>
          <w:tcPr>
            <w:tcW w:w="708" w:type="dxa"/>
            <w:vAlign w:val="center"/>
          </w:tcPr>
          <w:p w14:paraId="2084B4A8">
            <w:pPr>
              <w:jc w:val="center"/>
              <w:rPr>
                <w:rFonts w:ascii="Arial" w:hAnsi="Arial" w:cs="Arial"/>
                <w:sz w:val="24"/>
                <w:szCs w:val="24"/>
              </w:rPr>
            </w:pPr>
          </w:p>
        </w:tc>
        <w:tc>
          <w:tcPr>
            <w:tcW w:w="2561" w:type="dxa"/>
            <w:vMerge w:val="continue"/>
            <w:vAlign w:val="center"/>
          </w:tcPr>
          <w:p w14:paraId="1E13621B">
            <w:pPr>
              <w:jc w:val="center"/>
              <w:rPr>
                <w:rFonts w:ascii="Arial" w:hAnsi="Arial" w:cs="Arial"/>
                <w:szCs w:val="21"/>
              </w:rPr>
            </w:pPr>
          </w:p>
        </w:tc>
      </w:tr>
      <w:tr w14:paraId="3DFB0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B250AE6">
            <w:pPr>
              <w:jc w:val="center"/>
              <w:rPr>
                <w:rFonts w:ascii="Arial" w:hAnsi="Arial" w:cs="Arial"/>
                <w:sz w:val="24"/>
                <w:szCs w:val="24"/>
              </w:rPr>
            </w:pPr>
          </w:p>
        </w:tc>
        <w:tc>
          <w:tcPr>
            <w:tcW w:w="1285" w:type="dxa"/>
            <w:vMerge w:val="continue"/>
            <w:vAlign w:val="center"/>
          </w:tcPr>
          <w:p w14:paraId="471FF3B1">
            <w:pPr>
              <w:rPr>
                <w:rFonts w:ascii="Arial" w:hAnsi="Arial" w:cs="Arial"/>
                <w:sz w:val="24"/>
                <w:szCs w:val="24"/>
              </w:rPr>
            </w:pPr>
          </w:p>
        </w:tc>
        <w:tc>
          <w:tcPr>
            <w:tcW w:w="4112" w:type="dxa"/>
            <w:tcBorders>
              <w:bottom w:val="single" w:color="auto" w:sz="8" w:space="0"/>
            </w:tcBorders>
            <w:vAlign w:val="center"/>
          </w:tcPr>
          <w:p w14:paraId="2FD4BAD9">
            <w:pPr>
              <w:rPr>
                <w:rFonts w:hint="eastAsia" w:ascii="Arial" w:hAnsi="Arial" w:cs="Arial"/>
                <w:color w:val="000000"/>
                <w:sz w:val="24"/>
              </w:rPr>
            </w:pPr>
            <w:r>
              <w:rPr>
                <w:rFonts w:hint="eastAsia" w:ascii="Arial" w:hAnsi="Arial" w:cs="Arial"/>
                <w:sz w:val="24"/>
                <w:szCs w:val="24"/>
              </w:rPr>
              <w:t>(4)</w:t>
            </w:r>
            <w:r>
              <w:rPr>
                <w:rFonts w:ascii="Arial" w:hAnsi="Arial" w:cs="Arial"/>
                <w:sz w:val="24"/>
                <w:szCs w:val="24"/>
              </w:rPr>
              <w:t xml:space="preserve"> 导轨</w:t>
            </w:r>
          </w:p>
        </w:tc>
        <w:tc>
          <w:tcPr>
            <w:tcW w:w="708" w:type="dxa"/>
            <w:vAlign w:val="center"/>
          </w:tcPr>
          <w:p w14:paraId="0F10DFBE">
            <w:pPr>
              <w:jc w:val="center"/>
              <w:rPr>
                <w:rFonts w:ascii="Arial" w:hAnsi="Arial" w:cs="Arial"/>
                <w:sz w:val="24"/>
                <w:szCs w:val="24"/>
              </w:rPr>
            </w:pPr>
          </w:p>
        </w:tc>
        <w:tc>
          <w:tcPr>
            <w:tcW w:w="2561" w:type="dxa"/>
            <w:vMerge w:val="continue"/>
            <w:vAlign w:val="center"/>
          </w:tcPr>
          <w:p w14:paraId="15642563">
            <w:pPr>
              <w:jc w:val="center"/>
              <w:rPr>
                <w:rFonts w:ascii="Arial" w:hAnsi="Arial" w:cs="Arial"/>
                <w:szCs w:val="21"/>
              </w:rPr>
            </w:pPr>
          </w:p>
        </w:tc>
      </w:tr>
      <w:tr w14:paraId="5803B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19A12913">
            <w:pPr>
              <w:jc w:val="center"/>
              <w:rPr>
                <w:rFonts w:ascii="Arial" w:hAnsi="Arial" w:cs="Arial"/>
                <w:sz w:val="24"/>
                <w:szCs w:val="24"/>
              </w:rPr>
            </w:pPr>
          </w:p>
        </w:tc>
        <w:tc>
          <w:tcPr>
            <w:tcW w:w="5397" w:type="dxa"/>
            <w:gridSpan w:val="2"/>
            <w:tcBorders>
              <w:bottom w:val="single" w:color="auto" w:sz="8" w:space="0"/>
            </w:tcBorders>
            <w:vAlign w:val="center"/>
          </w:tcPr>
          <w:p w14:paraId="56B16F94">
            <w:pPr>
              <w:rPr>
                <w:rFonts w:ascii="Arial" w:hAnsi="Arial" w:cs="Arial"/>
                <w:sz w:val="24"/>
                <w:szCs w:val="24"/>
              </w:rPr>
            </w:pPr>
            <w:r>
              <w:rPr>
                <w:rFonts w:ascii="Arial" w:hAnsi="Arial" w:cs="Arial"/>
                <w:sz w:val="24"/>
                <w:szCs w:val="24"/>
              </w:rPr>
              <w:t>悬挂、补偿系统</w:t>
            </w:r>
          </w:p>
        </w:tc>
        <w:tc>
          <w:tcPr>
            <w:tcW w:w="708" w:type="dxa"/>
            <w:vAlign w:val="center"/>
          </w:tcPr>
          <w:p w14:paraId="70126B03">
            <w:pPr>
              <w:jc w:val="center"/>
              <w:rPr>
                <w:rFonts w:ascii="Arial" w:hAnsi="Arial" w:cs="Arial"/>
                <w:sz w:val="24"/>
                <w:szCs w:val="24"/>
              </w:rPr>
            </w:pPr>
          </w:p>
        </w:tc>
        <w:tc>
          <w:tcPr>
            <w:tcW w:w="2561" w:type="dxa"/>
            <w:vMerge w:val="continue"/>
            <w:vAlign w:val="center"/>
          </w:tcPr>
          <w:p w14:paraId="0DA041A9">
            <w:pPr>
              <w:jc w:val="center"/>
              <w:rPr>
                <w:rFonts w:ascii="Arial" w:hAnsi="Arial" w:cs="Arial"/>
                <w:szCs w:val="21"/>
              </w:rPr>
            </w:pPr>
          </w:p>
        </w:tc>
      </w:tr>
      <w:tr w14:paraId="072C2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D8EEDC6">
            <w:pPr>
              <w:jc w:val="center"/>
              <w:rPr>
                <w:rFonts w:ascii="Arial" w:hAnsi="Arial" w:cs="Arial"/>
                <w:sz w:val="24"/>
                <w:szCs w:val="24"/>
              </w:rPr>
            </w:pPr>
          </w:p>
        </w:tc>
        <w:tc>
          <w:tcPr>
            <w:tcW w:w="5397" w:type="dxa"/>
            <w:gridSpan w:val="2"/>
            <w:tcBorders>
              <w:bottom w:val="single" w:color="auto" w:sz="8" w:space="0"/>
            </w:tcBorders>
            <w:vAlign w:val="center"/>
          </w:tcPr>
          <w:p w14:paraId="7F44AECD">
            <w:pPr>
              <w:rPr>
                <w:rFonts w:ascii="Arial" w:hAnsi="Arial" w:cs="Arial"/>
                <w:sz w:val="24"/>
                <w:szCs w:val="24"/>
              </w:rPr>
            </w:pPr>
            <w:r>
              <w:rPr>
                <w:rFonts w:hint="eastAsia" w:ascii="Arial" w:hAnsi="Arial" w:cs="Arial"/>
                <w:sz w:val="24"/>
                <w:szCs w:val="24"/>
              </w:rPr>
              <w:t>轿厢系统</w:t>
            </w:r>
          </w:p>
        </w:tc>
        <w:tc>
          <w:tcPr>
            <w:tcW w:w="708" w:type="dxa"/>
            <w:vAlign w:val="center"/>
          </w:tcPr>
          <w:p w14:paraId="08F2F892">
            <w:pPr>
              <w:jc w:val="center"/>
              <w:rPr>
                <w:rFonts w:ascii="Arial" w:hAnsi="Arial" w:cs="Arial"/>
                <w:sz w:val="24"/>
                <w:szCs w:val="24"/>
              </w:rPr>
            </w:pPr>
          </w:p>
        </w:tc>
        <w:tc>
          <w:tcPr>
            <w:tcW w:w="2561" w:type="dxa"/>
            <w:vMerge w:val="continue"/>
            <w:vAlign w:val="center"/>
          </w:tcPr>
          <w:p w14:paraId="6C36A385">
            <w:pPr>
              <w:jc w:val="center"/>
              <w:rPr>
                <w:rFonts w:ascii="Arial" w:hAnsi="Arial" w:cs="Arial"/>
                <w:szCs w:val="21"/>
              </w:rPr>
            </w:pPr>
          </w:p>
        </w:tc>
      </w:tr>
      <w:tr w14:paraId="54B6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15E94E8">
            <w:pPr>
              <w:jc w:val="center"/>
              <w:rPr>
                <w:rFonts w:ascii="Arial" w:hAnsi="Arial" w:cs="Arial"/>
                <w:sz w:val="24"/>
                <w:szCs w:val="24"/>
              </w:rPr>
            </w:pPr>
          </w:p>
        </w:tc>
        <w:tc>
          <w:tcPr>
            <w:tcW w:w="5397" w:type="dxa"/>
            <w:gridSpan w:val="2"/>
            <w:tcBorders>
              <w:bottom w:val="single" w:color="auto" w:sz="8" w:space="0"/>
            </w:tcBorders>
            <w:vAlign w:val="center"/>
          </w:tcPr>
          <w:p w14:paraId="44834BF1">
            <w:pPr>
              <w:rPr>
                <w:rFonts w:ascii="Arial" w:hAnsi="Arial" w:cs="Arial"/>
                <w:sz w:val="24"/>
                <w:szCs w:val="24"/>
              </w:rPr>
            </w:pPr>
            <w:r>
              <w:rPr>
                <w:rFonts w:ascii="Arial" w:hAnsi="Arial" w:cs="Arial"/>
                <w:sz w:val="24"/>
                <w:szCs w:val="24"/>
              </w:rPr>
              <w:t>门系统</w:t>
            </w:r>
          </w:p>
        </w:tc>
        <w:tc>
          <w:tcPr>
            <w:tcW w:w="708" w:type="dxa"/>
            <w:vAlign w:val="center"/>
          </w:tcPr>
          <w:p w14:paraId="7C053736">
            <w:pPr>
              <w:jc w:val="center"/>
              <w:rPr>
                <w:rFonts w:ascii="Arial" w:hAnsi="Arial" w:cs="Arial"/>
                <w:sz w:val="24"/>
                <w:szCs w:val="24"/>
              </w:rPr>
            </w:pPr>
          </w:p>
        </w:tc>
        <w:tc>
          <w:tcPr>
            <w:tcW w:w="2561" w:type="dxa"/>
            <w:vMerge w:val="continue"/>
            <w:vAlign w:val="center"/>
          </w:tcPr>
          <w:p w14:paraId="6F240A93">
            <w:pPr>
              <w:jc w:val="center"/>
              <w:rPr>
                <w:rFonts w:ascii="Arial" w:hAnsi="Arial" w:cs="Arial"/>
                <w:szCs w:val="21"/>
              </w:rPr>
            </w:pPr>
          </w:p>
        </w:tc>
      </w:tr>
      <w:tr w14:paraId="60DA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7D7BBDBA">
            <w:pPr>
              <w:jc w:val="center"/>
              <w:rPr>
                <w:rFonts w:ascii="Arial" w:hAnsi="Arial" w:cs="Arial"/>
                <w:sz w:val="24"/>
                <w:szCs w:val="24"/>
              </w:rPr>
            </w:pPr>
          </w:p>
        </w:tc>
        <w:tc>
          <w:tcPr>
            <w:tcW w:w="5397" w:type="dxa"/>
            <w:gridSpan w:val="2"/>
            <w:tcBorders>
              <w:bottom w:val="single" w:color="auto" w:sz="8" w:space="0"/>
            </w:tcBorders>
            <w:vAlign w:val="center"/>
          </w:tcPr>
          <w:p w14:paraId="0F2A7D29">
            <w:pPr>
              <w:rPr>
                <w:rFonts w:ascii="Arial" w:hAnsi="Arial" w:cs="Arial"/>
                <w:sz w:val="24"/>
                <w:szCs w:val="24"/>
              </w:rPr>
            </w:pPr>
            <w:r>
              <w:rPr>
                <w:rFonts w:ascii="Arial" w:hAnsi="Arial" w:cs="Arial"/>
                <w:sz w:val="24"/>
                <w:szCs w:val="24"/>
              </w:rPr>
              <w:t>消防员电梯附加要求</w:t>
            </w:r>
          </w:p>
        </w:tc>
        <w:tc>
          <w:tcPr>
            <w:tcW w:w="708" w:type="dxa"/>
            <w:vAlign w:val="center"/>
          </w:tcPr>
          <w:p w14:paraId="6C1059A5">
            <w:pPr>
              <w:jc w:val="center"/>
              <w:rPr>
                <w:rFonts w:ascii="Arial" w:hAnsi="Arial" w:cs="Arial"/>
                <w:sz w:val="24"/>
                <w:szCs w:val="24"/>
              </w:rPr>
            </w:pPr>
          </w:p>
        </w:tc>
        <w:tc>
          <w:tcPr>
            <w:tcW w:w="2561" w:type="dxa"/>
            <w:vMerge w:val="continue"/>
            <w:vAlign w:val="center"/>
          </w:tcPr>
          <w:p w14:paraId="4A4C0148">
            <w:pPr>
              <w:jc w:val="center"/>
              <w:rPr>
                <w:rFonts w:ascii="Arial" w:hAnsi="Arial" w:cs="Arial"/>
                <w:szCs w:val="21"/>
              </w:rPr>
            </w:pPr>
          </w:p>
        </w:tc>
      </w:tr>
      <w:tr w14:paraId="62A33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D27DAC3">
            <w:pPr>
              <w:jc w:val="center"/>
              <w:rPr>
                <w:rFonts w:ascii="Arial" w:hAnsi="Arial" w:cs="Arial"/>
                <w:sz w:val="24"/>
                <w:szCs w:val="24"/>
              </w:rPr>
            </w:pPr>
          </w:p>
        </w:tc>
        <w:tc>
          <w:tcPr>
            <w:tcW w:w="5397" w:type="dxa"/>
            <w:gridSpan w:val="2"/>
            <w:tcBorders>
              <w:bottom w:val="single" w:color="auto" w:sz="8" w:space="0"/>
            </w:tcBorders>
            <w:vAlign w:val="center"/>
          </w:tcPr>
          <w:p w14:paraId="2D0068B9">
            <w:pPr>
              <w:rPr>
                <w:rFonts w:ascii="Arial" w:hAnsi="Arial" w:cs="Arial"/>
                <w:sz w:val="24"/>
                <w:szCs w:val="24"/>
              </w:rPr>
            </w:pPr>
            <w:r>
              <w:rPr>
                <w:rFonts w:ascii="Arial" w:hAnsi="Arial" w:cs="Arial"/>
                <w:sz w:val="24"/>
                <w:szCs w:val="24"/>
              </w:rPr>
              <w:t>相关标准或者产品技术条件</w:t>
            </w:r>
          </w:p>
        </w:tc>
        <w:tc>
          <w:tcPr>
            <w:tcW w:w="708" w:type="dxa"/>
            <w:vAlign w:val="center"/>
          </w:tcPr>
          <w:p w14:paraId="03BE3AAE">
            <w:pPr>
              <w:jc w:val="center"/>
              <w:rPr>
                <w:rFonts w:ascii="Arial" w:hAnsi="Arial" w:cs="Arial"/>
                <w:sz w:val="24"/>
                <w:szCs w:val="24"/>
              </w:rPr>
            </w:pPr>
          </w:p>
        </w:tc>
        <w:tc>
          <w:tcPr>
            <w:tcW w:w="2561" w:type="dxa"/>
            <w:vAlign w:val="center"/>
          </w:tcPr>
          <w:p w14:paraId="33DDE4E7">
            <w:pPr>
              <w:jc w:val="center"/>
              <w:rPr>
                <w:rFonts w:ascii="Arial" w:hAnsi="Arial" w:cs="Arial"/>
                <w:szCs w:val="21"/>
              </w:rPr>
            </w:pPr>
          </w:p>
        </w:tc>
      </w:tr>
      <w:tr w14:paraId="1B0D0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Mar>
              <w:left w:w="57" w:type="dxa"/>
              <w:right w:w="57" w:type="dxa"/>
            </w:tcMar>
            <w:vAlign w:val="center"/>
          </w:tcPr>
          <w:p w14:paraId="0813F5D1">
            <w:pPr>
              <w:jc w:val="center"/>
              <w:rPr>
                <w:rFonts w:ascii="Arial" w:hAnsi="Arial" w:cs="Arial"/>
                <w:sz w:val="24"/>
                <w:szCs w:val="24"/>
              </w:rPr>
            </w:pPr>
            <w:r>
              <w:rPr>
                <w:rFonts w:ascii="Arial" w:hAnsi="Arial" w:cs="Arial"/>
                <w:sz w:val="24"/>
                <w:szCs w:val="24"/>
              </w:rPr>
              <w:t>8</w:t>
            </w:r>
          </w:p>
        </w:tc>
        <w:tc>
          <w:tcPr>
            <w:tcW w:w="5397" w:type="dxa"/>
            <w:gridSpan w:val="2"/>
            <w:vAlign w:val="center"/>
          </w:tcPr>
          <w:p w14:paraId="00CA10F8">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708" w:type="dxa"/>
            <w:vAlign w:val="center"/>
          </w:tcPr>
          <w:p w14:paraId="62F9BCDA">
            <w:pPr>
              <w:jc w:val="center"/>
              <w:rPr>
                <w:rFonts w:ascii="Arial" w:hAnsi="Arial" w:cs="Arial"/>
                <w:sz w:val="24"/>
                <w:szCs w:val="24"/>
              </w:rPr>
            </w:pPr>
          </w:p>
        </w:tc>
        <w:tc>
          <w:tcPr>
            <w:tcW w:w="2561" w:type="dxa"/>
            <w:vAlign w:val="center"/>
          </w:tcPr>
          <w:p w14:paraId="21CEF155">
            <w:pPr>
              <w:jc w:val="center"/>
              <w:rPr>
                <w:rFonts w:ascii="Arial" w:hAnsi="Arial" w:cs="Arial"/>
                <w:sz w:val="24"/>
                <w:szCs w:val="24"/>
              </w:rPr>
            </w:pPr>
          </w:p>
        </w:tc>
      </w:tr>
    </w:tbl>
    <w:p w14:paraId="5E856507">
      <w:pPr>
        <w:spacing w:before="312" w:beforeLines="100" w:after="156" w:afterLines="50"/>
        <w:rPr>
          <w:rFonts w:ascii="楷体_GB2312" w:hAnsi="Arial" w:eastAsia="楷体_GB2312"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p>
    <w:p w14:paraId="5192EECB">
      <w:pPr>
        <w:rPr>
          <w:rFonts w:ascii="Arial" w:hAnsi="Arial" w:cs="Arial"/>
          <w:b/>
          <w:bCs/>
          <w:sz w:val="24"/>
          <w:szCs w:val="24"/>
        </w:rPr>
        <w:sectPr>
          <w:footerReference r:id="rId3" w:type="default"/>
          <w:pgSz w:w="11906" w:h="16838"/>
          <w:pgMar w:top="1247" w:right="1134" w:bottom="1134" w:left="1418" w:header="851" w:footer="992" w:gutter="0"/>
          <w:cols w:space="425" w:num="1"/>
          <w:docGrid w:type="lines" w:linePitch="312" w:charSpace="0"/>
        </w:sectPr>
      </w:pPr>
    </w:p>
    <w:p w14:paraId="559B7572">
      <w:pPr>
        <w:spacing w:before="312" w:beforeLines="100" w:after="156" w:afterLines="50" w:line="400" w:lineRule="exact"/>
        <w:rPr>
          <w:rFonts w:ascii="Arial" w:hAnsi="Arial" w:cs="Arial"/>
          <w:b/>
          <w:sz w:val="24"/>
          <w:szCs w:val="24"/>
        </w:rPr>
      </w:pPr>
      <w:bookmarkStart w:id="0" w:name="_Hlk101601658"/>
      <w:r>
        <w:rPr>
          <w:rFonts w:hint="eastAsia" w:ascii="Arial" w:hAnsi="Arial" w:cs="Arial"/>
          <w:b/>
          <w:sz w:val="24"/>
          <w:szCs w:val="24"/>
        </w:rPr>
        <w:t>附录</w:t>
      </w:r>
    </w:p>
    <w:p w14:paraId="47F58A8E">
      <w:pPr>
        <w:pStyle w:val="34"/>
        <w:spacing w:before="93" w:beforeLines="30"/>
        <w:ind w:firstLine="199" w:firstLineChars="80"/>
        <w:jc w:val="center"/>
        <w:rPr>
          <w:rFonts w:ascii="Arial" w:hAnsi="Arial" w:eastAsia="宋体" w:cs="Arial"/>
          <w:b/>
          <w:bCs/>
          <w:szCs w:val="24"/>
        </w:rPr>
      </w:pPr>
      <w:r>
        <w:rPr>
          <w:rFonts w:ascii="Arial" w:hAnsi="Arial" w:eastAsia="宋体" w:cs="Arial"/>
          <w:b/>
          <w:bCs/>
          <w:szCs w:val="24"/>
        </w:rPr>
        <w:t>《</w:t>
      </w:r>
      <w:bookmarkStart w:id="1" w:name="_Toc452975465"/>
      <w:r>
        <w:rPr>
          <w:rFonts w:ascii="Arial" w:hAnsi="Arial" w:eastAsia="宋体" w:cs="Arial"/>
          <w:b/>
          <w:bCs/>
          <w:szCs w:val="24"/>
        </w:rPr>
        <w:t>乘客和载货电梯型式试验要求</w:t>
      </w:r>
      <w:bookmarkEnd w:id="1"/>
      <w:r>
        <w:rPr>
          <w:rFonts w:ascii="Arial" w:hAnsi="Arial" w:eastAsia="宋体" w:cs="Arial"/>
          <w:b/>
          <w:bCs/>
          <w:szCs w:val="24"/>
        </w:rPr>
        <w:t>》</w:t>
      </w:r>
      <w:r>
        <w:rPr>
          <w:rFonts w:hint="eastAsia" w:ascii="Arial" w:hAnsi="Arial" w:eastAsia="宋体" w:cs="Arial"/>
          <w:b/>
          <w:bCs/>
          <w:szCs w:val="24"/>
        </w:rPr>
        <w:t>2</w:t>
      </w:r>
      <w:r>
        <w:rPr>
          <w:rFonts w:ascii="Arial" w:hAnsi="Arial" w:eastAsia="宋体" w:cs="Arial"/>
          <w:b/>
          <w:bCs/>
          <w:szCs w:val="24"/>
        </w:rPr>
        <w:t>022</w:t>
      </w:r>
      <w:r>
        <w:rPr>
          <w:rFonts w:hint="eastAsia" w:ascii="Arial" w:hAnsi="Arial" w:eastAsia="宋体" w:cs="Arial"/>
          <w:b/>
          <w:bCs/>
          <w:szCs w:val="24"/>
        </w:rPr>
        <w:t>稿型规补充试验</w:t>
      </w:r>
      <w:r>
        <w:rPr>
          <w:rFonts w:ascii="Arial" w:hAnsi="Arial" w:eastAsia="宋体" w:cs="Arial"/>
          <w:b/>
          <w:bCs/>
          <w:szCs w:val="24"/>
        </w:rPr>
        <w:t>的技术资料</w:t>
      </w:r>
    </w:p>
    <w:p w14:paraId="31D131E5">
      <w:pPr>
        <w:pStyle w:val="34"/>
        <w:spacing w:before="93" w:beforeLines="30" w:line="440" w:lineRule="atLeast"/>
        <w:ind w:firstLine="0" w:firstLineChars="0"/>
        <w:rPr>
          <w:rFonts w:ascii="Arial" w:hAnsi="Arial" w:eastAsia="宋体" w:cs="Arial"/>
          <w:bCs/>
          <w:szCs w:val="24"/>
          <w:lang w:bidi="zh-TW"/>
        </w:rPr>
      </w:pPr>
      <w:r>
        <w:rPr>
          <w:rFonts w:ascii="Arial" w:hAnsi="Arial" w:eastAsia="宋体" w:cs="Arial"/>
          <w:szCs w:val="24"/>
          <w:lang w:bidi="en-US"/>
        </w:rPr>
        <w:t>1、</w:t>
      </w:r>
      <w:r>
        <w:rPr>
          <w:rFonts w:ascii="Arial" w:hAnsi="Arial" w:eastAsia="宋体" w:cs="Arial"/>
          <w:bCs/>
          <w:szCs w:val="24"/>
          <w:lang w:bidi="zh-TW"/>
        </w:rPr>
        <w:t>产品合格证明及说明文件</w:t>
      </w:r>
    </w:p>
    <w:p w14:paraId="30577664">
      <w:pPr>
        <w:pStyle w:val="34"/>
        <w:spacing w:line="440" w:lineRule="atLeast"/>
        <w:ind w:firstLine="488"/>
        <w:rPr>
          <w:rFonts w:ascii="Arial" w:hAnsi="Arial" w:eastAsia="宋体" w:cs="Arial"/>
          <w:szCs w:val="24"/>
        </w:rPr>
      </w:pPr>
      <w:r>
        <w:rPr>
          <w:rFonts w:ascii="Arial" w:hAnsi="Arial" w:eastAsia="宋体" w:cs="Arial"/>
          <w:szCs w:val="24"/>
          <w:lang w:bidi="en-US"/>
        </w:rPr>
        <w:t>(1)</w:t>
      </w:r>
      <w:r>
        <w:rPr>
          <w:rFonts w:ascii="Arial" w:hAnsi="Arial" w:eastAsia="宋体" w:cs="Arial"/>
          <w:szCs w:val="24"/>
        </w:rPr>
        <w:t>产品质量合格证明文件，包括合格证（含数据报告</w:t>
      </w:r>
      <w:r>
        <w:rPr>
          <w:rFonts w:hint="eastAsia" w:ascii="Arial" w:hAnsi="Arial" w:eastAsia="宋体" w:cs="Arial"/>
          <w:szCs w:val="24"/>
        </w:rPr>
        <w:t>，</w:t>
      </w:r>
      <w:r>
        <w:rPr>
          <w:rFonts w:ascii="Arial" w:hAnsi="Arial" w:eastAsia="宋体" w:cs="Arial"/>
          <w:szCs w:val="24"/>
          <w:lang w:bidi="en-US"/>
        </w:rPr>
        <w:t>注H-5</w:t>
      </w:r>
      <w:r>
        <w:rPr>
          <w:rFonts w:ascii="Arial" w:hAnsi="Arial" w:eastAsia="宋体" w:cs="Arial"/>
          <w:szCs w:val="24"/>
        </w:rPr>
        <w:t xml:space="preserve">）、产品质量证明书以及相关声明等；相关声明包括：未配置人为通过操作权限设置限制电梯正常运行时间或者次数的技术障碍类功能的声明；非金属材质非线性蓄能型缓冲器寿命（从制造日期开始计算不少于10年）及未达到寿命年限而达到报废条件时免费更换的声明（或者不采用非金属材质非线性蓄能型缓冲器的声明）；采用包覆带悬挂的电梯，包覆带寿命（在安装使用维护保养说明书中给出的条件下从制造日期开始计算不少于15 年或者电梯驱动主机启动次数不少于300万次）及未达到寿命年限或者驱动主机启动次数而达到报废条件时进行免费更换的声明； </w:t>
      </w:r>
    </w:p>
    <w:p w14:paraId="2665973F">
      <w:pPr>
        <w:pStyle w:val="34"/>
        <w:spacing w:line="440" w:lineRule="atLeast"/>
        <w:ind w:firstLine="488"/>
        <w:rPr>
          <w:rFonts w:ascii="Arial" w:hAnsi="Arial" w:eastAsia="宋体" w:cs="Arial"/>
          <w:szCs w:val="24"/>
        </w:rPr>
      </w:pPr>
      <w:r>
        <w:rPr>
          <w:rFonts w:ascii="Arial" w:hAnsi="Arial" w:eastAsia="宋体" w:cs="Arial"/>
          <w:szCs w:val="24"/>
          <w:lang w:bidi="en-US"/>
        </w:rPr>
        <w:t>(2)</w:t>
      </w:r>
      <w:r>
        <w:rPr>
          <w:rFonts w:ascii="Arial" w:hAnsi="Arial" w:eastAsia="宋体" w:cs="Arial"/>
          <w:szCs w:val="24"/>
        </w:rPr>
        <w:t>安装自检合格报告(或者竣工验收报告)；</w:t>
      </w:r>
      <w:bookmarkStart w:id="3" w:name="_GoBack"/>
      <w:bookmarkEnd w:id="3"/>
    </w:p>
    <w:p w14:paraId="22681937">
      <w:pPr>
        <w:pStyle w:val="34"/>
        <w:spacing w:line="440" w:lineRule="atLeast"/>
        <w:ind w:firstLine="488"/>
        <w:rPr>
          <w:rFonts w:ascii="Arial" w:hAnsi="Arial" w:eastAsia="宋体" w:cs="Arial"/>
          <w:szCs w:val="24"/>
        </w:rPr>
      </w:pPr>
      <w:r>
        <w:rPr>
          <w:rFonts w:ascii="Arial" w:hAnsi="Arial" w:eastAsia="宋体" w:cs="Arial"/>
          <w:szCs w:val="24"/>
          <w:lang w:bidi="en-US"/>
        </w:rPr>
        <w:t>(3)安装使用维护保养说明书，对包覆带悬挂的电梯应当包括：包覆带端接装置、 承载体监测装置、导向装置、补偿装置的安装说明和安装验收要求，包覆带有关的使用维护说明和定期检查要求，包覆带报废及更换技术条件，包覆带包装、贮存、运输要求，使用环境（温度、湿度、紫外线等）要求，驱动主机安装要求（含安装精度等）</w:t>
      </w:r>
      <w:r>
        <w:rPr>
          <w:rFonts w:ascii="Arial" w:hAnsi="Arial" w:eastAsia="宋体" w:cs="Arial"/>
          <w:szCs w:val="24"/>
        </w:rPr>
        <w:t>；</w:t>
      </w:r>
    </w:p>
    <w:p w14:paraId="0E9C17D8">
      <w:pPr>
        <w:pStyle w:val="34"/>
        <w:spacing w:line="440" w:lineRule="atLeast"/>
        <w:ind w:firstLine="488"/>
        <w:rPr>
          <w:rFonts w:ascii="Arial" w:hAnsi="Arial" w:eastAsia="宋体" w:cs="Arial"/>
          <w:szCs w:val="24"/>
          <w:lang w:bidi="en-US"/>
        </w:rPr>
      </w:pPr>
      <w:r>
        <w:rPr>
          <w:rFonts w:ascii="Arial" w:hAnsi="Arial" w:eastAsia="宋体" w:cs="Arial"/>
          <w:szCs w:val="24"/>
          <w:lang w:bidi="en-US"/>
        </w:rPr>
        <w:t>(4)制动器间隙调整说明、维护保养说明，监测制动器正确提起（或者释放）和验证制动力的方法说明，在井道外独立测试每组制动器的方法说明；</w:t>
      </w:r>
    </w:p>
    <w:p w14:paraId="154B6A2D">
      <w:pPr>
        <w:pStyle w:val="34"/>
        <w:spacing w:line="440" w:lineRule="atLeast"/>
        <w:ind w:firstLine="488"/>
        <w:rPr>
          <w:rFonts w:ascii="Arial" w:hAnsi="Arial" w:eastAsia="宋体" w:cs="Arial"/>
          <w:szCs w:val="24"/>
          <w:lang w:bidi="en-US"/>
        </w:rPr>
      </w:pPr>
      <w:r>
        <w:rPr>
          <w:rFonts w:ascii="Arial" w:hAnsi="Arial" w:eastAsia="宋体" w:cs="Arial"/>
          <w:szCs w:val="24"/>
          <w:lang w:bidi="en-US"/>
        </w:rPr>
        <w:t>(5)电梯停在开锁区域外时的救援程序；</w:t>
      </w:r>
    </w:p>
    <w:p w14:paraId="0934F660">
      <w:pPr>
        <w:pStyle w:val="34"/>
        <w:spacing w:line="440" w:lineRule="atLeast"/>
        <w:ind w:firstLine="488"/>
        <w:rPr>
          <w:rFonts w:ascii="Arial" w:hAnsi="Arial" w:eastAsia="宋体" w:cs="Arial"/>
          <w:szCs w:val="24"/>
          <w:lang w:bidi="en-US"/>
        </w:rPr>
      </w:pPr>
      <w:r>
        <w:rPr>
          <w:rFonts w:ascii="Arial" w:hAnsi="Arial" w:eastAsia="宋体" w:cs="Arial"/>
          <w:szCs w:val="24"/>
          <w:lang w:bidi="en-US"/>
        </w:rPr>
        <w:t>(6)报警装置和语音播报系统的功能及安装使用维护说明；</w:t>
      </w:r>
    </w:p>
    <w:p w14:paraId="4FDC72ED">
      <w:pPr>
        <w:pStyle w:val="34"/>
        <w:spacing w:line="440" w:lineRule="atLeast"/>
        <w:ind w:firstLine="488"/>
        <w:rPr>
          <w:rFonts w:ascii="Arial" w:hAnsi="Arial" w:eastAsia="宋体" w:cs="Arial"/>
          <w:szCs w:val="24"/>
          <w:lang w:bidi="en-US"/>
        </w:rPr>
      </w:pPr>
      <w:r>
        <w:rPr>
          <w:rFonts w:ascii="Arial" w:hAnsi="Arial" w:eastAsia="宋体" w:cs="Arial"/>
          <w:szCs w:val="24"/>
          <w:lang w:bidi="en-US"/>
        </w:rPr>
        <w:t>(7)电气故障防护说明；</w:t>
      </w:r>
    </w:p>
    <w:p w14:paraId="5731D4D3">
      <w:pPr>
        <w:pStyle w:val="34"/>
        <w:spacing w:line="440" w:lineRule="atLeast"/>
        <w:ind w:firstLine="488"/>
        <w:rPr>
          <w:rFonts w:ascii="Arial" w:hAnsi="Arial" w:eastAsia="宋体" w:cs="Arial"/>
          <w:szCs w:val="24"/>
          <w:lang w:bidi="en-US"/>
        </w:rPr>
      </w:pPr>
      <w:r>
        <w:rPr>
          <w:rFonts w:ascii="Arial" w:hAnsi="Arial" w:eastAsia="宋体" w:cs="Arial"/>
          <w:szCs w:val="24"/>
          <w:lang w:bidi="en-US"/>
        </w:rPr>
        <w:t>(8)布置在井道内的驱动主机、控制柜和限速器的安装、维护保养作业方案；</w:t>
      </w:r>
    </w:p>
    <w:p w14:paraId="2DBE7D9E">
      <w:pPr>
        <w:pStyle w:val="34"/>
        <w:spacing w:line="440" w:lineRule="atLeast"/>
        <w:ind w:firstLine="488"/>
        <w:rPr>
          <w:rFonts w:ascii="Arial" w:hAnsi="Arial" w:eastAsia="宋体" w:cs="Arial"/>
          <w:szCs w:val="24"/>
          <w:lang w:bidi="en-US"/>
        </w:rPr>
      </w:pPr>
      <w:r>
        <w:rPr>
          <w:rFonts w:ascii="Arial" w:hAnsi="Arial" w:eastAsia="宋体" w:cs="Arial"/>
          <w:szCs w:val="24"/>
          <w:lang w:bidi="en-US"/>
        </w:rPr>
        <w:t>(9)井道外紧急操作和动态测试装置的功能和操作说明；</w:t>
      </w:r>
    </w:p>
    <w:p w14:paraId="7FE5DD80">
      <w:pPr>
        <w:pStyle w:val="34"/>
        <w:spacing w:line="440" w:lineRule="atLeast"/>
        <w:ind w:firstLine="488"/>
        <w:jc w:val="left"/>
        <w:rPr>
          <w:rFonts w:ascii="Arial" w:hAnsi="Arial" w:eastAsia="宋体" w:cs="Arial"/>
          <w:szCs w:val="24"/>
          <w:lang w:bidi="en-US"/>
        </w:rPr>
      </w:pPr>
      <w:r>
        <w:rPr>
          <w:rFonts w:ascii="Arial" w:hAnsi="Arial" w:eastAsia="宋体" w:cs="Arial"/>
          <w:szCs w:val="24"/>
          <w:lang w:bidi="en-US"/>
        </w:rPr>
        <w:t>(10)在火灾情况下退出正常服务的电梯，火灾信号的输入方式火灾报警系统和电梯控制系统之间的接口情况、电梯接到火灾信号时的特性、电梯通过何种方式恢复到正常服务状态、电梯层门类型等设计说明；</w:t>
      </w:r>
    </w:p>
    <w:p w14:paraId="306F862A">
      <w:pPr>
        <w:pStyle w:val="34"/>
        <w:spacing w:line="440" w:lineRule="atLeast"/>
        <w:ind w:firstLine="488"/>
        <w:rPr>
          <w:rFonts w:ascii="Arial" w:hAnsi="Arial" w:eastAsia="宋体" w:cs="Arial"/>
          <w:szCs w:val="24"/>
          <w:lang w:bidi="en-US"/>
        </w:rPr>
      </w:pPr>
      <w:r>
        <w:rPr>
          <w:rFonts w:ascii="Arial" w:hAnsi="Arial" w:eastAsia="宋体" w:cs="Arial"/>
          <w:szCs w:val="24"/>
          <w:lang w:bidi="en-US"/>
        </w:rPr>
        <w:t>(11)除机电式工作制动器外的其他制动装置的工作原理、与其他电路（如主电 路、制动器回路）之间的工作时序关系、使用维护说明；</w:t>
      </w:r>
    </w:p>
    <w:p w14:paraId="1F1B421A">
      <w:pPr>
        <w:pStyle w:val="34"/>
        <w:spacing w:line="440" w:lineRule="atLeast"/>
        <w:ind w:firstLine="488"/>
        <w:rPr>
          <w:rFonts w:ascii="Arial" w:hAnsi="Arial" w:eastAsia="宋体" w:cs="Arial"/>
          <w:szCs w:val="24"/>
          <w:lang w:bidi="en-US"/>
        </w:rPr>
      </w:pPr>
      <w:r>
        <w:rPr>
          <w:rFonts w:ascii="Arial" w:hAnsi="Arial" w:eastAsia="宋体" w:cs="Arial"/>
          <w:szCs w:val="24"/>
          <w:lang w:bidi="en-US"/>
        </w:rPr>
        <w:t>(13)制动器自监测系统的具体类型、工作原理、制动力监测的动作阈值和监测 周期，自监测功能验证方法说明；</w:t>
      </w:r>
    </w:p>
    <w:p w14:paraId="73C3A93F">
      <w:pPr>
        <w:pStyle w:val="34"/>
        <w:spacing w:line="440" w:lineRule="atLeast"/>
        <w:ind w:firstLine="488"/>
        <w:rPr>
          <w:rFonts w:ascii="Arial" w:hAnsi="Arial" w:eastAsia="宋体" w:cs="Arial"/>
          <w:szCs w:val="24"/>
          <w:lang w:bidi="en-US"/>
        </w:rPr>
      </w:pPr>
      <w:r>
        <w:rPr>
          <w:rFonts w:ascii="Arial" w:hAnsi="Arial" w:eastAsia="宋体" w:cs="Arial"/>
          <w:szCs w:val="24"/>
          <w:lang w:bidi="en-US"/>
        </w:rPr>
        <w:t>(14)观光电梯设计和结构的特别说明；</w:t>
      </w:r>
    </w:p>
    <w:p w14:paraId="6320D6A2">
      <w:pPr>
        <w:pStyle w:val="34"/>
        <w:spacing w:line="440" w:lineRule="atLeast"/>
        <w:ind w:firstLine="488"/>
        <w:rPr>
          <w:rFonts w:ascii="Arial" w:hAnsi="Arial" w:eastAsia="宋体" w:cs="Arial"/>
          <w:szCs w:val="24"/>
          <w:lang w:bidi="en-US"/>
        </w:rPr>
      </w:pPr>
      <w:r>
        <w:rPr>
          <w:rFonts w:ascii="Arial" w:hAnsi="Arial" w:eastAsia="宋体" w:cs="Arial"/>
          <w:szCs w:val="24"/>
          <w:lang w:bidi="en-US"/>
        </w:rPr>
        <w:t>(17)轿厢意外移动保护装置各子系统（制停子系统包括制停部件和触发装置）结 构、硬件组成、软件版本及工作原理说明。</w:t>
      </w:r>
    </w:p>
    <w:p w14:paraId="01C9233E">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2、</w:t>
      </w:r>
      <w:r>
        <w:rPr>
          <w:rFonts w:ascii="Arial" w:hAnsi="Arial" w:eastAsia="宋体" w:cs="Arial"/>
          <w:bCs/>
          <w:szCs w:val="24"/>
        </w:rPr>
        <w:t>设计计算书</w:t>
      </w:r>
    </w:p>
    <w:p w14:paraId="72480BA9">
      <w:pPr>
        <w:pStyle w:val="34"/>
        <w:spacing w:line="440" w:lineRule="atLeast"/>
        <w:ind w:firstLine="488"/>
        <w:rPr>
          <w:rFonts w:ascii="Arial" w:hAnsi="Arial" w:eastAsia="宋体" w:cs="Arial"/>
          <w:szCs w:val="24"/>
        </w:rPr>
      </w:pPr>
      <w:r>
        <w:rPr>
          <w:rFonts w:hint="eastAsia" w:ascii="Arial" w:hAnsi="Arial" w:eastAsia="宋体" w:cs="Arial"/>
          <w:szCs w:val="24"/>
        </w:rPr>
        <w:t>(1)安全保护装置选型计算；</w:t>
      </w:r>
    </w:p>
    <w:p w14:paraId="50F43C0B">
      <w:pPr>
        <w:pStyle w:val="34"/>
        <w:spacing w:line="440" w:lineRule="atLeast"/>
        <w:ind w:firstLine="488"/>
        <w:rPr>
          <w:rFonts w:ascii="Arial" w:hAnsi="Arial" w:eastAsia="宋体" w:cs="Arial"/>
          <w:szCs w:val="24"/>
        </w:rPr>
      </w:pPr>
      <w:r>
        <w:rPr>
          <w:rFonts w:hint="eastAsia" w:ascii="Arial" w:hAnsi="Arial" w:eastAsia="宋体" w:cs="Arial"/>
          <w:szCs w:val="24"/>
        </w:rPr>
        <w:t>(2)限速器绳（或者带）、安全绳安全系数计算；</w:t>
      </w:r>
    </w:p>
    <w:p w14:paraId="44B05055">
      <w:pPr>
        <w:pStyle w:val="34"/>
        <w:spacing w:line="440" w:lineRule="atLeast"/>
        <w:ind w:firstLine="488"/>
        <w:rPr>
          <w:rFonts w:ascii="Arial" w:hAnsi="Arial" w:eastAsia="宋体" w:cs="Arial"/>
          <w:szCs w:val="24"/>
        </w:rPr>
      </w:pPr>
      <w:r>
        <w:rPr>
          <w:rFonts w:hint="eastAsia" w:ascii="Arial" w:hAnsi="Arial" w:eastAsia="宋体" w:cs="Arial"/>
          <w:szCs w:val="24"/>
        </w:rPr>
        <w:t>(3)H6.11所述曳引驱动电梯其他制动装置（功能）制动能力计算书，考虑了各种工况（轿厢处于不同位置、空载或者满载、电梯运行或者处于静止状态）的其他制动装置主要元器件选型计算；</w:t>
      </w:r>
    </w:p>
    <w:p w14:paraId="0767E757">
      <w:pPr>
        <w:pStyle w:val="34"/>
        <w:spacing w:line="440" w:lineRule="atLeast"/>
        <w:ind w:firstLine="488"/>
        <w:rPr>
          <w:rFonts w:ascii="Arial" w:hAnsi="Arial" w:eastAsia="宋体" w:cs="Arial"/>
          <w:szCs w:val="24"/>
        </w:rPr>
      </w:pPr>
      <w:r>
        <w:rPr>
          <w:rFonts w:hint="eastAsia" w:ascii="Arial" w:hAnsi="Arial" w:eastAsia="宋体" w:cs="Arial"/>
          <w:szCs w:val="24"/>
        </w:rPr>
        <w:t>(5)驱动主机选型计算（应当能确保电梯在110%额定载重量和额定速度下运行的 能力）、制动器制动力选型计算、盘车力计算；</w:t>
      </w:r>
    </w:p>
    <w:p w14:paraId="3822B2F2">
      <w:pPr>
        <w:pStyle w:val="34"/>
        <w:spacing w:line="440" w:lineRule="atLeast"/>
        <w:ind w:firstLine="488"/>
        <w:rPr>
          <w:rFonts w:ascii="Arial" w:hAnsi="Arial" w:eastAsia="宋体" w:cs="Arial"/>
          <w:szCs w:val="24"/>
        </w:rPr>
      </w:pPr>
      <w:r>
        <w:rPr>
          <w:rFonts w:hint="eastAsia" w:ascii="Arial" w:hAnsi="Arial" w:eastAsia="宋体" w:cs="Arial"/>
          <w:szCs w:val="24"/>
        </w:rPr>
        <w:t>(6)控制柜选型计算（应当能确保电梯在110%额定载重量和额定速度下运行的 能力）；</w:t>
      </w:r>
    </w:p>
    <w:p w14:paraId="2637CC8D">
      <w:pPr>
        <w:pStyle w:val="34"/>
        <w:spacing w:line="440" w:lineRule="atLeast"/>
        <w:ind w:firstLine="488"/>
        <w:rPr>
          <w:rFonts w:ascii="Arial" w:hAnsi="Arial" w:eastAsia="宋体" w:cs="Arial"/>
          <w:szCs w:val="24"/>
        </w:rPr>
      </w:pPr>
      <w:r>
        <w:rPr>
          <w:rFonts w:hint="eastAsia" w:ascii="Arial" w:hAnsi="Arial" w:eastAsia="宋体" w:cs="Arial"/>
          <w:szCs w:val="24"/>
        </w:rPr>
        <w:t>(7)悬挂装置安全系数计算，曳引轮、滑轮、张紧轮或者卷筒的节圆直径与钢丝 绳直径或者包覆带承载体公称直径（或者公称厚度）的比值计算；</w:t>
      </w:r>
    </w:p>
    <w:p w14:paraId="45AF0082">
      <w:pPr>
        <w:pStyle w:val="34"/>
        <w:spacing w:line="440" w:lineRule="atLeast"/>
        <w:ind w:firstLine="488"/>
        <w:rPr>
          <w:rFonts w:ascii="Arial" w:hAnsi="Arial" w:eastAsia="宋体" w:cs="Arial"/>
          <w:szCs w:val="24"/>
        </w:rPr>
      </w:pPr>
      <w:r>
        <w:rPr>
          <w:rFonts w:hint="eastAsia" w:ascii="Arial" w:hAnsi="Arial" w:eastAsia="宋体" w:cs="Arial"/>
          <w:szCs w:val="24"/>
        </w:rPr>
        <w:t>(8)曳引条件计算，平衡系数计算；</w:t>
      </w:r>
    </w:p>
    <w:p w14:paraId="65B35969">
      <w:pPr>
        <w:pStyle w:val="34"/>
        <w:spacing w:line="440" w:lineRule="atLeast"/>
        <w:ind w:firstLine="488"/>
        <w:rPr>
          <w:rFonts w:ascii="Arial" w:hAnsi="Arial" w:eastAsia="宋体" w:cs="Arial"/>
          <w:szCs w:val="24"/>
        </w:rPr>
      </w:pPr>
      <w:r>
        <w:rPr>
          <w:rFonts w:hint="eastAsia" w:ascii="Arial" w:hAnsi="Arial" w:eastAsia="宋体" w:cs="Arial"/>
          <w:szCs w:val="24"/>
        </w:rPr>
        <w:t>(9)轿架的强度计算及安全系数计算（应当考虑电梯正常运行、安全钳动作、限 速切断阀动作、夹紧装置动作、棘爪装置动作或者轿厢撞击缓冲器的工况）；</w:t>
      </w:r>
    </w:p>
    <w:p w14:paraId="2C79F759">
      <w:pPr>
        <w:pStyle w:val="34"/>
        <w:spacing w:line="440" w:lineRule="atLeast"/>
        <w:ind w:firstLine="488"/>
        <w:rPr>
          <w:rFonts w:ascii="Arial" w:hAnsi="Arial" w:eastAsia="宋体" w:cs="Arial"/>
          <w:szCs w:val="24"/>
        </w:rPr>
      </w:pPr>
      <w:r>
        <w:rPr>
          <w:rFonts w:hint="eastAsia" w:ascii="Arial" w:hAnsi="Arial" w:eastAsia="宋体" w:cs="Arial"/>
          <w:szCs w:val="24"/>
        </w:rPr>
        <w:t>(10)导轨计算;</w:t>
      </w:r>
    </w:p>
    <w:p w14:paraId="5E12E1E1">
      <w:pPr>
        <w:pStyle w:val="34"/>
        <w:spacing w:line="440" w:lineRule="atLeast"/>
        <w:ind w:firstLine="488"/>
        <w:rPr>
          <w:rFonts w:ascii="Arial" w:hAnsi="Arial" w:eastAsia="宋体" w:cs="Arial"/>
          <w:szCs w:val="24"/>
        </w:rPr>
      </w:pPr>
      <w:r>
        <w:rPr>
          <w:rFonts w:hint="eastAsia" w:ascii="Arial" w:hAnsi="Arial" w:eastAsia="宋体" w:cs="Arial"/>
          <w:szCs w:val="24"/>
        </w:rPr>
        <w:t>(11)布置在井道内的驱动主机和悬挂装置固定处承载构件的受力计算</w:t>
      </w:r>
      <w:bookmarkStart w:id="2" w:name="_Hlk99113743"/>
      <w:r>
        <w:rPr>
          <w:rFonts w:hint="eastAsia" w:ascii="Arial" w:hAnsi="Arial" w:eastAsia="宋体" w:cs="Arial"/>
          <w:szCs w:val="24"/>
        </w:rPr>
        <w:t>；</w:t>
      </w:r>
      <w:bookmarkEnd w:id="2"/>
    </w:p>
    <w:p w14:paraId="157058B2">
      <w:pPr>
        <w:pStyle w:val="34"/>
        <w:spacing w:line="440" w:lineRule="atLeast"/>
        <w:ind w:firstLine="488"/>
        <w:rPr>
          <w:rFonts w:ascii="Arial" w:hAnsi="Arial" w:eastAsia="宋体" w:cs="Arial"/>
          <w:szCs w:val="24"/>
        </w:rPr>
      </w:pPr>
      <w:r>
        <w:rPr>
          <w:rFonts w:hint="eastAsia" w:ascii="Arial" w:hAnsi="Arial" w:eastAsia="宋体" w:cs="Arial"/>
          <w:szCs w:val="24"/>
        </w:rPr>
        <w:t>(12)轿厢有效面积计算，轿厢上、下部位通风孔面积计算；</w:t>
      </w:r>
    </w:p>
    <w:p w14:paraId="120763FB">
      <w:pPr>
        <w:pStyle w:val="34"/>
        <w:spacing w:line="440" w:lineRule="atLeast"/>
        <w:ind w:firstLine="488"/>
        <w:rPr>
          <w:rFonts w:ascii="Arial" w:hAnsi="Arial" w:eastAsia="宋体" w:cs="Arial"/>
          <w:szCs w:val="24"/>
        </w:rPr>
      </w:pPr>
      <w:r>
        <w:rPr>
          <w:rFonts w:hint="eastAsia" w:ascii="Arial" w:hAnsi="Arial" w:eastAsia="宋体" w:cs="Arial"/>
          <w:szCs w:val="24"/>
        </w:rPr>
        <w:t>(13)电梯层门和轿门装置在平均关门速度下的动能计算；</w:t>
      </w:r>
    </w:p>
    <w:p w14:paraId="40935A51">
      <w:pPr>
        <w:pStyle w:val="34"/>
        <w:spacing w:line="440" w:lineRule="atLeast"/>
        <w:ind w:firstLine="488"/>
        <w:rPr>
          <w:rFonts w:ascii="Arial" w:hAnsi="Arial" w:eastAsia="宋体" w:cs="Arial"/>
          <w:szCs w:val="24"/>
        </w:rPr>
      </w:pPr>
      <w:r>
        <w:rPr>
          <w:rFonts w:hint="eastAsia" w:ascii="Arial" w:hAnsi="Arial" w:eastAsia="宋体" w:cs="Arial"/>
          <w:szCs w:val="24"/>
        </w:rPr>
        <w:t>(14)垂直滑动层门悬挂件的安全系数、悬挂绳轮直径与绳径比值的计算；</w:t>
      </w:r>
    </w:p>
    <w:p w14:paraId="67948846">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3、</w:t>
      </w:r>
      <w:r>
        <w:rPr>
          <w:rFonts w:ascii="Arial" w:hAnsi="Arial" w:eastAsia="宋体" w:cs="Arial"/>
          <w:bCs/>
          <w:szCs w:val="24"/>
        </w:rPr>
        <w:t>主要设计图样</w:t>
      </w:r>
    </w:p>
    <w:p w14:paraId="483CD107">
      <w:pPr>
        <w:pStyle w:val="34"/>
        <w:spacing w:line="440" w:lineRule="atLeast"/>
        <w:ind w:firstLine="488"/>
        <w:rPr>
          <w:rFonts w:ascii="Arial" w:hAnsi="Arial" w:eastAsia="宋体" w:cs="Arial"/>
          <w:szCs w:val="24"/>
        </w:rPr>
      </w:pPr>
      <w:r>
        <w:rPr>
          <w:rFonts w:hint="eastAsia" w:ascii="Arial" w:hAnsi="Arial" w:eastAsia="宋体" w:cs="Arial"/>
          <w:szCs w:val="24"/>
        </w:rPr>
        <w:t>(1)</w:t>
      </w:r>
      <w:r>
        <w:rPr>
          <w:rFonts w:ascii="Arial" w:hAnsi="Arial" w:eastAsia="宋体" w:cs="Arial"/>
          <w:szCs w:val="24"/>
        </w:rPr>
        <w:t xml:space="preserve"> </w:t>
      </w:r>
      <w:r>
        <w:rPr>
          <w:rFonts w:hint="eastAsia" w:ascii="Arial" w:hAnsi="Arial" w:eastAsia="宋体" w:cs="Arial"/>
          <w:szCs w:val="24"/>
        </w:rPr>
        <w:t>产品图纸目录、总体布置图、主要受力结构件图（包括轿厢架、对重架、支撑固定绳头组合的构件，支撑固定驱动主机、反绳轮、导向轮的构件等）、机械部件装 配图（主要包括轿架装配图、轿厢装配图、层门系统装配图、轿门系统装配图等）；</w:t>
      </w:r>
    </w:p>
    <w:p w14:paraId="602BCD16">
      <w:pPr>
        <w:pStyle w:val="34"/>
        <w:spacing w:line="440" w:lineRule="atLeast"/>
        <w:ind w:firstLine="488"/>
        <w:rPr>
          <w:rFonts w:ascii="Arial" w:hAnsi="Arial" w:eastAsia="宋体" w:cs="Arial"/>
          <w:szCs w:val="24"/>
        </w:rPr>
      </w:pPr>
      <w:r>
        <w:rPr>
          <w:rFonts w:hint="eastAsia" w:ascii="Arial" w:hAnsi="Arial" w:eastAsia="宋体" w:cs="Arial"/>
          <w:szCs w:val="24"/>
        </w:rPr>
        <w:t>(2)</w:t>
      </w:r>
      <w:r>
        <w:rPr>
          <w:rFonts w:ascii="Arial" w:hAnsi="Arial" w:eastAsia="宋体" w:cs="Arial"/>
          <w:szCs w:val="24"/>
        </w:rPr>
        <w:t xml:space="preserve"> </w:t>
      </w:r>
      <w:r>
        <w:rPr>
          <w:rFonts w:hint="eastAsia" w:ascii="Arial" w:hAnsi="Arial" w:eastAsia="宋体" w:cs="Arial"/>
          <w:szCs w:val="24"/>
        </w:rPr>
        <w:t>电气原理图、接线图，包括井道照明和插座、应急电源供电、制动器自监测 系统、其他电气制动系统、电气符号说明（元器件代号表）等；</w:t>
      </w:r>
    </w:p>
    <w:p w14:paraId="24502001">
      <w:pPr>
        <w:pStyle w:val="34"/>
        <w:spacing w:line="440" w:lineRule="atLeast"/>
        <w:ind w:firstLine="488"/>
        <w:rPr>
          <w:rFonts w:ascii="Arial" w:hAnsi="Arial" w:eastAsia="宋体" w:cs="Arial"/>
          <w:szCs w:val="24"/>
        </w:rPr>
      </w:pPr>
      <w:r>
        <w:rPr>
          <w:rFonts w:hint="eastAsia" w:ascii="Arial" w:hAnsi="Arial" w:eastAsia="宋体" w:cs="Arial"/>
          <w:szCs w:val="24"/>
        </w:rPr>
        <w:t>(</w:t>
      </w:r>
      <w:r>
        <w:rPr>
          <w:rFonts w:ascii="Arial" w:hAnsi="Arial" w:eastAsia="宋体" w:cs="Arial"/>
          <w:szCs w:val="24"/>
        </w:rPr>
        <w:t>4</w:t>
      </w:r>
      <w:r>
        <w:rPr>
          <w:rFonts w:hint="eastAsia" w:ascii="Arial" w:hAnsi="Arial" w:eastAsia="宋体" w:cs="Arial"/>
          <w:szCs w:val="24"/>
        </w:rPr>
        <w:t>)</w:t>
      </w:r>
      <w:r>
        <w:rPr>
          <w:rFonts w:ascii="Arial" w:hAnsi="Arial" w:eastAsia="宋体" w:cs="Arial"/>
          <w:szCs w:val="24"/>
        </w:rPr>
        <w:t xml:space="preserve"> </w:t>
      </w:r>
      <w:r>
        <w:rPr>
          <w:rFonts w:hint="eastAsia" w:ascii="Arial" w:hAnsi="Arial" w:eastAsia="宋体" w:cs="Arial"/>
          <w:szCs w:val="24"/>
        </w:rPr>
        <w:t>曳引轮、滑轮设计图（含结构、尺寸、材料牌号、表面处理和防锈措施）。</w:t>
      </w:r>
    </w:p>
    <w:p w14:paraId="30E89B7C">
      <w:pPr>
        <w:pStyle w:val="34"/>
        <w:spacing w:before="93" w:beforeLines="30" w:line="440" w:lineRule="atLeast"/>
        <w:ind w:firstLine="0" w:firstLineChars="0"/>
        <w:rPr>
          <w:rFonts w:ascii="Arial" w:hAnsi="Arial" w:eastAsia="宋体" w:cs="Arial"/>
          <w:bCs/>
          <w:szCs w:val="24"/>
        </w:rPr>
      </w:pPr>
      <w:r>
        <w:rPr>
          <w:rFonts w:ascii="Arial" w:hAnsi="Arial" w:eastAsia="宋体" w:cs="Arial"/>
          <w:szCs w:val="24"/>
        </w:rPr>
        <w:t>4</w:t>
      </w:r>
      <w:r>
        <w:rPr>
          <w:rFonts w:hint="eastAsia" w:ascii="Arial" w:hAnsi="Arial" w:eastAsia="宋体" w:cs="Arial"/>
          <w:szCs w:val="24"/>
        </w:rPr>
        <w:t>、</w:t>
      </w:r>
      <w:r>
        <w:rPr>
          <w:rFonts w:ascii="Arial" w:hAnsi="Arial" w:eastAsia="宋体" w:cs="Arial"/>
          <w:bCs/>
          <w:szCs w:val="24"/>
        </w:rPr>
        <w:t>部件证明文件</w:t>
      </w:r>
    </w:p>
    <w:p w14:paraId="66A1A4B5">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4.1 型式试验证明文件</w:t>
      </w:r>
    </w:p>
    <w:p w14:paraId="6238AA97">
      <w:pPr>
        <w:pStyle w:val="34"/>
        <w:spacing w:line="440" w:lineRule="atLeast"/>
        <w:ind w:firstLine="488"/>
        <w:rPr>
          <w:rFonts w:ascii="Arial" w:hAnsi="Arial" w:eastAsia="宋体" w:cs="Arial"/>
          <w:szCs w:val="24"/>
        </w:rPr>
      </w:pPr>
      <w:r>
        <w:rPr>
          <w:rFonts w:hint="eastAsia" w:ascii="Arial" w:hAnsi="Arial" w:eastAsia="宋体" w:cs="Arial"/>
          <w:szCs w:val="24"/>
        </w:rPr>
        <w:t>限速器、非金属材质非线性蓄能型缓冲器、驱动主机、控制柜、轿厢意外移动保护装置（液压驱动电梯和防爆电梯除外）的符合T</w:t>
      </w:r>
      <w:r>
        <w:rPr>
          <w:rFonts w:ascii="Arial" w:hAnsi="Arial" w:eastAsia="宋体" w:cs="Arial"/>
          <w:szCs w:val="24"/>
        </w:rPr>
        <w:t>SG T7007</w:t>
      </w:r>
      <w:r>
        <w:rPr>
          <w:rFonts w:hint="eastAsia" w:ascii="Arial" w:hAnsi="Arial" w:eastAsia="宋体" w:cs="Arial"/>
          <w:szCs w:val="24"/>
        </w:rPr>
        <w:t>—2</w:t>
      </w:r>
      <w:r>
        <w:rPr>
          <w:rFonts w:ascii="Arial" w:hAnsi="Arial" w:eastAsia="宋体" w:cs="Arial"/>
          <w:szCs w:val="24"/>
        </w:rPr>
        <w:t>022</w:t>
      </w:r>
      <w:r>
        <w:rPr>
          <w:rFonts w:hint="eastAsia" w:ascii="Arial" w:hAnsi="Arial" w:eastAsia="宋体" w:cs="Arial"/>
          <w:szCs w:val="24"/>
        </w:rPr>
        <w:t>稿型式试验报告和型式试验证书（复印件）及其产品合格证。</w:t>
      </w:r>
    </w:p>
    <w:p w14:paraId="1BB4E0E2">
      <w:pPr>
        <w:pStyle w:val="34"/>
        <w:spacing w:line="440" w:lineRule="atLeast"/>
        <w:ind w:firstLine="488"/>
        <w:rPr>
          <w:rFonts w:ascii="Arial" w:hAnsi="Arial" w:eastAsia="宋体" w:cs="Arial"/>
          <w:szCs w:val="24"/>
        </w:rPr>
      </w:pPr>
      <w:r>
        <w:rPr>
          <w:rFonts w:hint="eastAsia" w:ascii="Arial" w:hAnsi="Arial" w:eastAsia="宋体" w:cs="Arial"/>
          <w:szCs w:val="24"/>
        </w:rPr>
        <w:t>其他部件可提供符合T</w:t>
      </w:r>
      <w:r>
        <w:rPr>
          <w:rFonts w:ascii="Arial" w:hAnsi="Arial" w:eastAsia="宋体" w:cs="Arial"/>
          <w:szCs w:val="24"/>
        </w:rPr>
        <w:t>SG T7007</w:t>
      </w:r>
      <w:r>
        <w:rPr>
          <w:rFonts w:hint="eastAsia" w:ascii="Arial" w:hAnsi="Arial" w:eastAsia="宋体" w:cs="Arial"/>
          <w:szCs w:val="24"/>
        </w:rPr>
        <w:t>—2</w:t>
      </w:r>
      <w:r>
        <w:rPr>
          <w:rFonts w:ascii="Arial" w:hAnsi="Arial" w:eastAsia="宋体" w:cs="Arial"/>
          <w:szCs w:val="24"/>
        </w:rPr>
        <w:t>016</w:t>
      </w:r>
      <w:r>
        <w:rPr>
          <w:rFonts w:hint="eastAsia" w:ascii="Arial" w:hAnsi="Arial" w:eastAsia="宋体" w:cs="Arial"/>
          <w:szCs w:val="24"/>
        </w:rPr>
        <w:t>稿型式试验报告和型式试验证书（复印件）及其产品合格证，但样机所配置的部件产品本身应该是满足T</w:t>
      </w:r>
      <w:r>
        <w:rPr>
          <w:rFonts w:ascii="Arial" w:hAnsi="Arial" w:eastAsia="宋体" w:cs="Arial"/>
          <w:szCs w:val="24"/>
        </w:rPr>
        <w:t>SG T7007</w:t>
      </w:r>
      <w:r>
        <w:rPr>
          <w:rFonts w:hint="eastAsia" w:ascii="Arial" w:hAnsi="Arial" w:eastAsia="宋体" w:cs="Arial"/>
          <w:szCs w:val="24"/>
        </w:rPr>
        <w:t>—2</w:t>
      </w:r>
      <w:r>
        <w:rPr>
          <w:rFonts w:ascii="Arial" w:hAnsi="Arial" w:eastAsia="宋体" w:cs="Arial"/>
          <w:szCs w:val="24"/>
        </w:rPr>
        <w:t>022</w:t>
      </w:r>
      <w:r>
        <w:rPr>
          <w:rFonts w:hint="eastAsia" w:ascii="Arial" w:hAnsi="Arial" w:eastAsia="宋体" w:cs="Arial"/>
          <w:szCs w:val="24"/>
        </w:rPr>
        <w:t>稿型规的产品。</w:t>
      </w:r>
    </w:p>
    <w:p w14:paraId="059F04E8">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4.2 其他证明文件</w:t>
      </w:r>
    </w:p>
    <w:p w14:paraId="2EFD8D1B">
      <w:pPr>
        <w:pStyle w:val="34"/>
        <w:spacing w:line="440" w:lineRule="atLeast"/>
        <w:ind w:firstLine="488"/>
        <w:rPr>
          <w:rFonts w:ascii="Arial" w:hAnsi="Arial" w:eastAsia="宋体" w:cs="Arial"/>
          <w:szCs w:val="24"/>
        </w:rPr>
      </w:pPr>
      <w:r>
        <w:rPr>
          <w:rFonts w:hint="eastAsia" w:ascii="Arial" w:hAnsi="Arial" w:eastAsia="宋体" w:cs="Arial"/>
          <w:szCs w:val="24"/>
        </w:rPr>
        <w:t>(1)随行电缆结构型式的证明；</w:t>
      </w:r>
    </w:p>
    <w:p w14:paraId="501B1DF9">
      <w:pPr>
        <w:pStyle w:val="34"/>
        <w:spacing w:line="440" w:lineRule="atLeast"/>
        <w:ind w:firstLine="488"/>
        <w:rPr>
          <w:rFonts w:ascii="Arial" w:hAnsi="Arial" w:eastAsia="宋体" w:cs="Arial"/>
          <w:szCs w:val="24"/>
        </w:rPr>
      </w:pPr>
      <w:r>
        <w:rPr>
          <w:rFonts w:hint="eastAsia" w:ascii="Arial" w:hAnsi="Arial" w:eastAsia="宋体" w:cs="Arial"/>
          <w:szCs w:val="24"/>
        </w:rPr>
        <w:t>(2)悬挂装置产品合格证或者试验报告；</w:t>
      </w:r>
    </w:p>
    <w:p w14:paraId="3B59B924">
      <w:pPr>
        <w:pStyle w:val="34"/>
        <w:spacing w:line="440" w:lineRule="atLeast"/>
        <w:ind w:firstLine="488"/>
        <w:rPr>
          <w:rFonts w:ascii="Arial" w:hAnsi="Arial" w:eastAsia="宋体" w:cs="Arial"/>
          <w:szCs w:val="24"/>
        </w:rPr>
      </w:pPr>
      <w:r>
        <w:rPr>
          <w:rFonts w:hint="eastAsia" w:ascii="Arial" w:hAnsi="Arial" w:eastAsia="宋体" w:cs="Arial"/>
          <w:szCs w:val="24"/>
        </w:rPr>
        <w:t>(3)限速器和渐进式安全钳调试证书；</w:t>
      </w:r>
    </w:p>
    <w:p w14:paraId="03C9B305">
      <w:pPr>
        <w:pStyle w:val="34"/>
        <w:spacing w:line="440" w:lineRule="atLeast"/>
        <w:ind w:firstLine="488"/>
        <w:rPr>
          <w:rFonts w:ascii="Arial" w:hAnsi="Arial" w:eastAsia="宋体" w:cs="Arial"/>
          <w:szCs w:val="24"/>
        </w:rPr>
      </w:pPr>
      <w:r>
        <w:rPr>
          <w:rFonts w:hint="eastAsia" w:ascii="Arial" w:hAnsi="Arial" w:eastAsia="宋体" w:cs="Arial"/>
          <w:szCs w:val="24"/>
        </w:rPr>
        <w:t>(5)部件外壳防护等级证明(需要一定外壳防护等级时);</w:t>
      </w:r>
    </w:p>
    <w:p w14:paraId="615B74DA">
      <w:pPr>
        <w:pStyle w:val="34"/>
        <w:spacing w:line="440" w:lineRule="atLeast"/>
        <w:ind w:firstLine="488"/>
        <w:rPr>
          <w:rFonts w:ascii="Arial" w:hAnsi="Arial" w:eastAsia="宋体" w:cs="Arial"/>
          <w:szCs w:val="24"/>
        </w:rPr>
      </w:pPr>
      <w:r>
        <w:rPr>
          <w:rFonts w:hint="eastAsia" w:ascii="Arial" w:hAnsi="Arial" w:eastAsia="宋体" w:cs="Arial"/>
          <w:szCs w:val="24"/>
        </w:rPr>
        <w:t>(6)无玻璃面板的钢质轿门机械强度符合层门同等要求的试验（检测）报告、耐火层门证明材料。</w:t>
      </w:r>
    </w:p>
    <w:p w14:paraId="70404A39">
      <w:pPr>
        <w:pStyle w:val="34"/>
        <w:spacing w:before="93" w:beforeLines="30" w:line="440" w:lineRule="atLeast"/>
        <w:ind w:firstLine="0" w:firstLineChars="0"/>
        <w:rPr>
          <w:rFonts w:hint="eastAsia" w:ascii="Arial" w:hAnsi="Arial" w:eastAsia="宋体" w:cs="Arial"/>
          <w:szCs w:val="24"/>
        </w:rPr>
      </w:pPr>
      <w:r>
        <w:rPr>
          <w:rFonts w:ascii="Arial" w:hAnsi="Arial" w:eastAsia="宋体" w:cs="Arial"/>
          <w:szCs w:val="24"/>
        </w:rPr>
        <w:t>4.3 防爆电梯部件</w:t>
      </w:r>
      <w:r>
        <w:rPr>
          <w:rFonts w:hint="eastAsia" w:ascii="Arial" w:hAnsi="Arial" w:eastAsia="宋体" w:cs="Arial"/>
          <w:szCs w:val="24"/>
        </w:rPr>
        <w:t>（见T</w:t>
      </w:r>
      <w:r>
        <w:rPr>
          <w:rFonts w:ascii="Arial" w:hAnsi="Arial" w:eastAsia="宋体" w:cs="Arial"/>
          <w:szCs w:val="24"/>
        </w:rPr>
        <w:t>SG T7007</w:t>
      </w:r>
      <w:r>
        <w:rPr>
          <w:rFonts w:hint="eastAsia" w:ascii="Arial" w:hAnsi="Arial" w:eastAsia="宋体" w:cs="Arial"/>
          <w:szCs w:val="24"/>
        </w:rPr>
        <w:t>—2</w:t>
      </w:r>
      <w:r>
        <w:rPr>
          <w:rFonts w:ascii="Arial" w:hAnsi="Arial" w:eastAsia="宋体" w:cs="Arial"/>
          <w:szCs w:val="24"/>
        </w:rPr>
        <w:t xml:space="preserve">022 </w:t>
      </w:r>
      <w:r>
        <w:rPr>
          <w:rFonts w:hint="eastAsia" w:ascii="Arial" w:hAnsi="Arial" w:eastAsia="宋体" w:cs="Arial"/>
          <w:szCs w:val="24"/>
        </w:rPr>
        <w:t>H</w:t>
      </w:r>
      <w:r>
        <w:rPr>
          <w:rFonts w:ascii="Arial" w:hAnsi="Arial" w:eastAsia="宋体" w:cs="Arial"/>
          <w:szCs w:val="24"/>
        </w:rPr>
        <w:t>5.4.3</w:t>
      </w:r>
      <w:r>
        <w:rPr>
          <w:rFonts w:hint="eastAsia" w:ascii="Arial" w:hAnsi="Arial" w:eastAsia="宋体" w:cs="Arial"/>
          <w:szCs w:val="24"/>
        </w:rPr>
        <w:t>）</w:t>
      </w:r>
    </w:p>
    <w:p w14:paraId="44AA7F93">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5、</w:t>
      </w:r>
      <w:r>
        <w:rPr>
          <w:rFonts w:ascii="Arial" w:hAnsi="Arial" w:eastAsia="宋体" w:cs="Arial"/>
          <w:bCs/>
          <w:szCs w:val="24"/>
        </w:rPr>
        <w:t>机器设备间、井道</w:t>
      </w:r>
      <w:r>
        <w:rPr>
          <w:rFonts w:hint="eastAsia" w:ascii="Arial" w:hAnsi="Arial" w:eastAsia="宋体" w:cs="Arial"/>
          <w:bCs/>
          <w:szCs w:val="24"/>
        </w:rPr>
        <w:t>——</w:t>
      </w:r>
      <w:r>
        <w:rPr>
          <w:rFonts w:ascii="Arial" w:hAnsi="Arial" w:eastAsia="宋体" w:cs="Arial"/>
          <w:szCs w:val="24"/>
        </w:rPr>
        <w:t>布置说明及图示</w:t>
      </w:r>
    </w:p>
    <w:p w14:paraId="45468A3B">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5.1 布置说明及图示</w:t>
      </w:r>
    </w:p>
    <w:p w14:paraId="5BECF6E7">
      <w:pPr>
        <w:pStyle w:val="34"/>
        <w:spacing w:line="440" w:lineRule="atLeast"/>
        <w:ind w:firstLine="200" w:firstLineChars="81"/>
        <w:rPr>
          <w:rFonts w:ascii="Arial" w:hAnsi="Arial" w:eastAsia="宋体" w:cs="Arial"/>
          <w:szCs w:val="24"/>
        </w:rPr>
      </w:pPr>
      <w:r>
        <w:rPr>
          <w:rFonts w:hint="eastAsia" w:ascii="Arial" w:hAnsi="Arial" w:eastAsia="宋体" w:cs="Arial"/>
          <w:szCs w:val="24"/>
        </w:rPr>
        <w:t>(1)</w:t>
      </w:r>
      <w:r>
        <w:rPr>
          <w:rFonts w:ascii="Arial" w:hAnsi="Arial" w:eastAsia="宋体" w:cs="Arial"/>
          <w:szCs w:val="24"/>
        </w:rPr>
        <w:t xml:space="preserve"> </w:t>
      </w:r>
      <w:r>
        <w:rPr>
          <w:rFonts w:hint="eastAsia" w:ascii="Arial" w:hAnsi="Arial" w:eastAsia="宋体" w:cs="Arial"/>
          <w:szCs w:val="24"/>
        </w:rPr>
        <w:t>机器设备间、滑轮间的位置和主要尺寸，进入井道、机器空间和滑轮间的通道要求，检修门、通道门、通道活板门和安全门的要求、布置和尺寸，井道平面布置和井道立面，井道封闭情况说明和要求，井道下方任何可以进入空间的防护；</w:t>
      </w:r>
    </w:p>
    <w:p w14:paraId="2CC8E737">
      <w:pPr>
        <w:pStyle w:val="34"/>
        <w:spacing w:line="440" w:lineRule="atLeast"/>
        <w:ind w:firstLine="200" w:firstLineChars="81"/>
        <w:rPr>
          <w:rFonts w:ascii="Arial" w:hAnsi="Arial" w:eastAsia="宋体" w:cs="Arial"/>
          <w:szCs w:val="24"/>
        </w:rPr>
      </w:pPr>
      <w:r>
        <w:rPr>
          <w:rFonts w:hint="eastAsia" w:ascii="Arial" w:hAnsi="Arial" w:eastAsia="宋体" w:cs="Arial"/>
          <w:szCs w:val="24"/>
        </w:rPr>
        <w:t>(2)</w:t>
      </w:r>
      <w:r>
        <w:rPr>
          <w:rFonts w:ascii="Arial" w:hAnsi="Arial" w:eastAsia="宋体" w:cs="Arial"/>
          <w:szCs w:val="24"/>
        </w:rPr>
        <w:t xml:space="preserve"> </w:t>
      </w:r>
      <w:r>
        <w:rPr>
          <w:rFonts w:hint="eastAsia" w:ascii="Arial" w:hAnsi="Arial" w:eastAsia="宋体" w:cs="Arial"/>
          <w:szCs w:val="24"/>
        </w:rPr>
        <w:t>驱动主机（含液压泵站、液压缸）的布置方式，控制柜、紧急和测试操作屏的 安装位置等，机器空间和维护保养作业空间的位置和尺寸计算示意；</w:t>
      </w:r>
    </w:p>
    <w:p w14:paraId="325B0704">
      <w:pPr>
        <w:pStyle w:val="34"/>
        <w:spacing w:line="440" w:lineRule="atLeast"/>
        <w:ind w:firstLine="200" w:firstLineChars="81"/>
        <w:rPr>
          <w:rFonts w:ascii="Arial" w:hAnsi="Arial" w:eastAsia="宋体" w:cs="Arial"/>
          <w:szCs w:val="24"/>
        </w:rPr>
      </w:pPr>
      <w:r>
        <w:rPr>
          <w:rFonts w:hint="eastAsia" w:ascii="Arial" w:hAnsi="Arial" w:eastAsia="宋体" w:cs="Arial"/>
          <w:szCs w:val="24"/>
        </w:rPr>
        <w:t>(3)</w:t>
      </w:r>
      <w:r>
        <w:rPr>
          <w:rFonts w:ascii="Arial" w:hAnsi="Arial" w:eastAsia="宋体" w:cs="Arial"/>
          <w:szCs w:val="24"/>
        </w:rPr>
        <w:t xml:space="preserve"> </w:t>
      </w:r>
      <w:r>
        <w:rPr>
          <w:rFonts w:hint="eastAsia" w:ascii="Arial" w:hAnsi="Arial" w:eastAsia="宋体" w:cs="Arial"/>
          <w:szCs w:val="24"/>
        </w:rPr>
        <w:t>井道、机房和滑轮间的专用说明及通风要求说明，井道、机器空间和滑轮间的照明要求。</w:t>
      </w:r>
    </w:p>
    <w:p w14:paraId="5D87A82D">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5.2 结构受力</w:t>
      </w:r>
    </w:p>
    <w:p w14:paraId="384BA8CE">
      <w:pPr>
        <w:pStyle w:val="34"/>
        <w:spacing w:line="440" w:lineRule="atLeast"/>
        <w:ind w:firstLine="488"/>
        <w:rPr>
          <w:rFonts w:ascii="Arial" w:hAnsi="Arial" w:eastAsia="宋体" w:cs="Arial"/>
          <w:szCs w:val="24"/>
        </w:rPr>
      </w:pPr>
      <w:r>
        <w:rPr>
          <w:rFonts w:ascii="Arial" w:hAnsi="Arial" w:eastAsia="宋体" w:cs="Arial"/>
          <w:szCs w:val="24"/>
        </w:rPr>
        <w:t>机器设备间地板受力要求，底坑地面受力要求，使用膨胀螺栓时对井道壁的要求。</w:t>
      </w:r>
    </w:p>
    <w:p w14:paraId="4997B43D">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5.3 井道内各部件之间的间隙和保护</w:t>
      </w:r>
    </w:p>
    <w:p w14:paraId="5BEA53FC">
      <w:pPr>
        <w:pStyle w:val="34"/>
        <w:spacing w:line="440" w:lineRule="atLeast"/>
        <w:ind w:firstLine="488"/>
        <w:rPr>
          <w:rFonts w:ascii="Arial" w:hAnsi="Arial" w:eastAsia="宋体" w:cs="Arial"/>
          <w:szCs w:val="24"/>
        </w:rPr>
      </w:pPr>
      <w:r>
        <w:rPr>
          <w:rFonts w:hint="eastAsia" w:ascii="Arial" w:hAnsi="Arial" w:eastAsia="宋体" w:cs="Arial"/>
          <w:szCs w:val="24"/>
        </w:rPr>
        <w:t>轿厢与对重或者平衡重（含相关零部件）之间的水平运动间隙，井道内其他运动 部件之间的运动间隙，电梯井道内表面与轿厢地坎、轿厢门框架或者滑动门的最近 门口边缘的水平距离，对重或者平衡重运行区域防护的要求和简图，同一井道内相 邻电梯间的防护措施。</w:t>
      </w:r>
    </w:p>
    <w:p w14:paraId="47A4E3DB">
      <w:pPr>
        <w:pStyle w:val="34"/>
        <w:spacing w:before="93" w:beforeLines="30" w:line="440" w:lineRule="atLeast"/>
        <w:ind w:firstLine="0" w:firstLineChars="0"/>
        <w:rPr>
          <w:rFonts w:ascii="Arial" w:hAnsi="Arial" w:eastAsia="宋体" w:cs="Arial"/>
          <w:szCs w:val="24"/>
        </w:rPr>
      </w:pPr>
      <w:r>
        <w:rPr>
          <w:rFonts w:ascii="Arial" w:hAnsi="Arial" w:eastAsia="宋体" w:cs="Arial"/>
          <w:szCs w:val="24"/>
        </w:rPr>
        <w:t>5.4 导轨</w:t>
      </w:r>
    </w:p>
    <w:p w14:paraId="1BC62553">
      <w:pPr>
        <w:pStyle w:val="34"/>
        <w:spacing w:line="440" w:lineRule="atLeast"/>
        <w:ind w:firstLine="488"/>
        <w:rPr>
          <w:rFonts w:ascii="Arial" w:hAnsi="Arial" w:eastAsia="宋体" w:cs="Arial"/>
          <w:szCs w:val="24"/>
        </w:rPr>
      </w:pPr>
      <w:r>
        <w:rPr>
          <w:rFonts w:ascii="Arial" w:hAnsi="Arial" w:eastAsia="宋体" w:cs="Arial"/>
          <w:szCs w:val="24"/>
        </w:rPr>
        <w:t>导轨型号、摩擦面的尺寸和表面加工方式，导轨润滑的要求。</w:t>
      </w:r>
    </w:p>
    <w:p w14:paraId="07B40A54">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6、</w:t>
      </w:r>
      <w:r>
        <w:rPr>
          <w:rFonts w:ascii="Arial" w:hAnsi="Arial" w:eastAsia="宋体" w:cs="Arial"/>
          <w:bCs/>
          <w:szCs w:val="24"/>
        </w:rPr>
        <w:t>悬挂、补偿系统</w:t>
      </w:r>
    </w:p>
    <w:p w14:paraId="733A1458">
      <w:pPr>
        <w:pStyle w:val="34"/>
        <w:spacing w:line="440" w:lineRule="atLeast"/>
        <w:ind w:firstLine="488"/>
        <w:rPr>
          <w:rFonts w:ascii="Arial" w:hAnsi="Arial" w:eastAsia="宋体" w:cs="Arial"/>
          <w:szCs w:val="24"/>
        </w:rPr>
      </w:pPr>
      <w:r>
        <w:rPr>
          <w:rFonts w:hint="eastAsia" w:ascii="Arial" w:hAnsi="Arial" w:eastAsia="宋体" w:cs="Arial"/>
          <w:szCs w:val="24"/>
        </w:rPr>
        <w:t>(1)悬挂装置的型号、直径、根数和破断载荷，悬挂链条的型号规格、节距和破断载荷；</w:t>
      </w:r>
    </w:p>
    <w:p w14:paraId="162B706D">
      <w:pPr>
        <w:pStyle w:val="34"/>
        <w:spacing w:line="440" w:lineRule="atLeast"/>
        <w:ind w:firstLine="488"/>
        <w:rPr>
          <w:rFonts w:ascii="Arial" w:hAnsi="Arial" w:eastAsia="宋体" w:cs="Arial"/>
          <w:szCs w:val="24"/>
        </w:rPr>
      </w:pPr>
      <w:r>
        <w:rPr>
          <w:rFonts w:hint="eastAsia" w:ascii="Arial" w:hAnsi="Arial" w:eastAsia="宋体" w:cs="Arial"/>
          <w:szCs w:val="24"/>
        </w:rPr>
        <w:t>(2)悬挂比（绕绳比）和绕绳方式（单绕或者复绕）示意图，悬挂装置端接方式、张 力平衡和异常伸长检查装置的安装或者设计图；</w:t>
      </w:r>
    </w:p>
    <w:p w14:paraId="1B84D433">
      <w:pPr>
        <w:pStyle w:val="34"/>
        <w:spacing w:line="440" w:lineRule="atLeast"/>
        <w:ind w:firstLine="488"/>
        <w:rPr>
          <w:rFonts w:ascii="Arial" w:hAnsi="Arial" w:eastAsia="宋体" w:cs="Arial"/>
          <w:szCs w:val="24"/>
        </w:rPr>
      </w:pPr>
      <w:r>
        <w:rPr>
          <w:rFonts w:hint="eastAsia" w:ascii="Arial" w:hAnsi="Arial" w:eastAsia="宋体" w:cs="Arial"/>
          <w:szCs w:val="24"/>
        </w:rPr>
        <w:t>(3)补偿绳、链的型号、规格和数量，补偿系统张紧装置安装图或者 设计图；</w:t>
      </w:r>
    </w:p>
    <w:p w14:paraId="3C2EBAB1">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7、</w:t>
      </w:r>
      <w:r>
        <w:rPr>
          <w:rFonts w:ascii="Arial" w:hAnsi="Arial" w:eastAsia="宋体" w:cs="Arial"/>
          <w:bCs/>
          <w:szCs w:val="24"/>
        </w:rPr>
        <w:t>轿厢系统</w:t>
      </w:r>
    </w:p>
    <w:p w14:paraId="67BCFBA7">
      <w:pPr>
        <w:pStyle w:val="34"/>
        <w:spacing w:line="440" w:lineRule="atLeast"/>
        <w:ind w:firstLine="488"/>
        <w:rPr>
          <w:rFonts w:ascii="Arial" w:hAnsi="Arial" w:eastAsia="宋体" w:cs="Arial"/>
          <w:szCs w:val="24"/>
        </w:rPr>
      </w:pPr>
      <w:r>
        <w:rPr>
          <w:rFonts w:ascii="Arial" w:hAnsi="Arial" w:eastAsia="宋体" w:cs="Arial"/>
          <w:szCs w:val="24"/>
        </w:rPr>
        <w:t>轿厢悬吊方式示意图，轿厢内部净尺寸，轿厢安全门的说明和简图，轿顶护栏的说明和简图，轿厢上护板和护脚板的安装和尺寸图。</w:t>
      </w:r>
    </w:p>
    <w:p w14:paraId="580F3053">
      <w:pPr>
        <w:pStyle w:val="34"/>
        <w:spacing w:before="93" w:beforeLines="30" w:line="440" w:lineRule="atLeast"/>
        <w:ind w:firstLine="0" w:firstLineChars="0"/>
        <w:rPr>
          <w:rFonts w:ascii="Arial" w:hAnsi="Arial" w:eastAsia="宋体" w:cs="Arial"/>
          <w:bCs/>
          <w:szCs w:val="24"/>
        </w:rPr>
      </w:pPr>
      <w:r>
        <w:rPr>
          <w:rFonts w:hint="eastAsia" w:ascii="Arial" w:hAnsi="Arial" w:eastAsia="宋体" w:cs="Arial"/>
          <w:szCs w:val="24"/>
        </w:rPr>
        <w:t>8、</w:t>
      </w:r>
      <w:r>
        <w:rPr>
          <w:rFonts w:ascii="Arial" w:hAnsi="Arial" w:eastAsia="宋体" w:cs="Arial"/>
          <w:bCs/>
          <w:szCs w:val="24"/>
        </w:rPr>
        <w:t>门系统</w:t>
      </w:r>
    </w:p>
    <w:p w14:paraId="59BDC741">
      <w:pPr>
        <w:pStyle w:val="34"/>
        <w:spacing w:line="440" w:lineRule="atLeast"/>
        <w:ind w:firstLine="488"/>
        <w:rPr>
          <w:rFonts w:ascii="Arial" w:hAnsi="Arial" w:eastAsia="宋体" w:cs="Arial"/>
          <w:szCs w:val="24"/>
        </w:rPr>
      </w:pPr>
      <w:r>
        <w:rPr>
          <w:rFonts w:hint="eastAsia" w:ascii="Arial" w:hAnsi="Arial" w:eastAsia="宋体" w:cs="Arial"/>
          <w:szCs w:val="24"/>
        </w:rPr>
        <w:t>轿门和层门安装固定方式，轿门型式和开门净尺寸，层门型式、开门方式和净 尺寸，玻璃门防拖曳措施，轿门与关闭后的层门间的水平距离，开锁区域的尺寸说 明图示，门板悬挂装置、保持装置、导向装置简图，层门门锁装置的结构和安装示 意图，轿门门锁装置、轿门开启保护装置的结构和安装示意图。</w:t>
      </w:r>
    </w:p>
    <w:p w14:paraId="6091E00E">
      <w:pPr>
        <w:pStyle w:val="34"/>
        <w:spacing w:line="440" w:lineRule="atLeast"/>
        <w:ind w:firstLine="488"/>
        <w:rPr>
          <w:rFonts w:ascii="Arial" w:hAnsi="Arial" w:eastAsia="宋体" w:cs="Arial"/>
          <w:szCs w:val="24"/>
        </w:rPr>
      </w:pPr>
      <w:r>
        <w:rPr>
          <w:rFonts w:hint="eastAsia" w:ascii="Arial" w:hAnsi="Arial" w:eastAsia="宋体" w:cs="Arial"/>
          <w:szCs w:val="24"/>
        </w:rPr>
        <w:t>水平滑动门下部导向装置、保持装置的啮合深度。</w:t>
      </w:r>
    </w:p>
    <w:bookmarkEnd w:id="0"/>
    <w:p w14:paraId="25F0E600">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9、</w:t>
      </w:r>
      <w:r>
        <w:rPr>
          <w:rFonts w:ascii="Arial" w:hAnsi="Arial" w:eastAsia="宋体" w:cs="Arial"/>
          <w:bCs/>
          <w:szCs w:val="24"/>
        </w:rPr>
        <w:t>消防员电梯附加要求</w:t>
      </w:r>
    </w:p>
    <w:p w14:paraId="25B45436">
      <w:pPr>
        <w:pStyle w:val="34"/>
        <w:spacing w:line="440" w:lineRule="atLeast"/>
        <w:ind w:firstLine="488"/>
        <w:rPr>
          <w:rFonts w:ascii="Arial" w:hAnsi="Arial" w:eastAsia="宋体" w:cs="Arial"/>
          <w:szCs w:val="24"/>
        </w:rPr>
      </w:pPr>
      <w:r>
        <w:rPr>
          <w:rFonts w:hint="eastAsia" w:ascii="Arial" w:hAnsi="Arial" w:eastAsia="宋体" w:cs="Arial"/>
          <w:szCs w:val="24"/>
        </w:rPr>
        <w:t>(1)工作温度，对防火前室（环境）的要求，井道和底坑的防水、排水要求；</w:t>
      </w:r>
    </w:p>
    <w:p w14:paraId="120F56AA">
      <w:pPr>
        <w:pStyle w:val="34"/>
        <w:spacing w:line="440" w:lineRule="atLeast"/>
        <w:ind w:firstLine="488"/>
        <w:rPr>
          <w:rFonts w:ascii="Arial" w:hAnsi="Arial" w:eastAsia="宋体" w:cs="Arial"/>
          <w:szCs w:val="24"/>
        </w:rPr>
      </w:pPr>
      <w:r>
        <w:rPr>
          <w:rFonts w:hint="eastAsia" w:ascii="Arial" w:hAnsi="Arial" w:eastAsia="宋体" w:cs="Arial"/>
          <w:szCs w:val="24"/>
        </w:rPr>
        <w:t>(2)对供电电源的要求，供电的转换要求；</w:t>
      </w:r>
    </w:p>
    <w:p w14:paraId="717C7053">
      <w:pPr>
        <w:pStyle w:val="34"/>
        <w:spacing w:line="440" w:lineRule="atLeast"/>
        <w:ind w:firstLine="488"/>
        <w:rPr>
          <w:rFonts w:ascii="Arial" w:hAnsi="Arial" w:eastAsia="宋体" w:cs="Arial"/>
          <w:szCs w:val="24"/>
        </w:rPr>
      </w:pPr>
      <w:r>
        <w:rPr>
          <w:rFonts w:hint="eastAsia" w:ascii="Arial" w:hAnsi="Arial" w:eastAsia="宋体" w:cs="Arial"/>
          <w:szCs w:val="24"/>
        </w:rPr>
        <w:t>(3)对消防服务通讯系统的要求；</w:t>
      </w:r>
    </w:p>
    <w:p w14:paraId="4DEE25AD">
      <w:pPr>
        <w:pStyle w:val="34"/>
        <w:spacing w:line="440" w:lineRule="atLeast"/>
        <w:ind w:firstLine="488"/>
        <w:rPr>
          <w:rFonts w:ascii="Arial" w:hAnsi="Arial" w:eastAsia="宋体" w:cs="Arial"/>
          <w:szCs w:val="24"/>
        </w:rPr>
      </w:pPr>
      <w:r>
        <w:rPr>
          <w:rFonts w:hint="eastAsia" w:ascii="Arial" w:hAnsi="Arial" w:eastAsia="宋体" w:cs="Arial"/>
          <w:szCs w:val="24"/>
        </w:rPr>
        <w:t>(4)轿厢和层站的控制装置要求；</w:t>
      </w:r>
    </w:p>
    <w:p w14:paraId="44282BB3">
      <w:pPr>
        <w:pStyle w:val="34"/>
        <w:spacing w:line="440" w:lineRule="atLeast"/>
        <w:ind w:firstLine="488"/>
        <w:rPr>
          <w:rFonts w:ascii="Arial" w:hAnsi="Arial" w:eastAsia="宋体" w:cs="Arial"/>
          <w:szCs w:val="24"/>
        </w:rPr>
      </w:pPr>
      <w:r>
        <w:rPr>
          <w:rFonts w:hint="eastAsia" w:ascii="Arial" w:hAnsi="Arial" w:eastAsia="宋体" w:cs="Arial"/>
          <w:szCs w:val="24"/>
        </w:rPr>
        <w:t>(5)对于放置驱动主机和相关设备的任何区间，以及防火分区外的所有电梯设备 区间之间的连接保护要求；</w:t>
      </w:r>
    </w:p>
    <w:p w14:paraId="5421414D">
      <w:pPr>
        <w:pStyle w:val="34"/>
        <w:spacing w:line="440" w:lineRule="atLeast"/>
        <w:ind w:firstLine="488"/>
        <w:rPr>
          <w:rFonts w:ascii="Arial" w:hAnsi="Arial" w:eastAsia="宋体" w:cs="Arial"/>
          <w:szCs w:val="24"/>
        </w:rPr>
      </w:pPr>
      <w:r>
        <w:rPr>
          <w:rFonts w:hint="eastAsia" w:ascii="Arial" w:hAnsi="Arial" w:eastAsia="宋体" w:cs="Arial"/>
          <w:szCs w:val="24"/>
        </w:rPr>
        <w:t>(6)消防员电梯优先召回阶段和消防服务阶段的功能说明；</w:t>
      </w:r>
    </w:p>
    <w:p w14:paraId="1AD3078F">
      <w:pPr>
        <w:pStyle w:val="34"/>
        <w:spacing w:line="440" w:lineRule="atLeast"/>
        <w:ind w:firstLine="488"/>
        <w:rPr>
          <w:rFonts w:ascii="Arial" w:hAnsi="Arial" w:eastAsia="宋体" w:cs="Arial"/>
          <w:szCs w:val="24"/>
        </w:rPr>
      </w:pPr>
      <w:r>
        <w:rPr>
          <w:rFonts w:hint="eastAsia" w:ascii="Arial" w:hAnsi="Arial" w:eastAsia="宋体" w:cs="Arial"/>
          <w:szCs w:val="24"/>
        </w:rPr>
        <w:t>(7)消防员电梯从内部和外部救援被困人员的方法、救援程序说明；</w:t>
      </w:r>
    </w:p>
    <w:p w14:paraId="2CD5B199">
      <w:pPr>
        <w:pStyle w:val="34"/>
        <w:spacing w:line="440" w:lineRule="atLeast"/>
        <w:ind w:firstLine="488"/>
        <w:rPr>
          <w:rFonts w:ascii="Arial" w:hAnsi="Arial" w:eastAsia="宋体" w:cs="Arial"/>
          <w:szCs w:val="24"/>
        </w:rPr>
      </w:pPr>
      <w:r>
        <w:rPr>
          <w:rFonts w:hint="eastAsia" w:ascii="Arial" w:hAnsi="Arial" w:eastAsia="宋体" w:cs="Arial"/>
          <w:szCs w:val="24"/>
        </w:rPr>
        <w:t>(8)消防员电梯涉及消防服务的电气控制部分的说明。</w:t>
      </w:r>
    </w:p>
    <w:p w14:paraId="2C72AA76">
      <w:pPr>
        <w:pStyle w:val="34"/>
        <w:spacing w:before="93" w:beforeLines="30" w:line="440" w:lineRule="atLeast"/>
        <w:ind w:firstLine="0" w:firstLineChars="0"/>
        <w:rPr>
          <w:rFonts w:ascii="Arial" w:hAnsi="Arial" w:eastAsia="宋体" w:cs="Arial"/>
          <w:szCs w:val="24"/>
        </w:rPr>
      </w:pPr>
      <w:r>
        <w:rPr>
          <w:rFonts w:hint="eastAsia" w:ascii="Arial" w:hAnsi="Arial" w:eastAsia="宋体" w:cs="Arial"/>
          <w:szCs w:val="24"/>
        </w:rPr>
        <w:t>10、</w:t>
      </w:r>
      <w:r>
        <w:rPr>
          <w:rFonts w:ascii="Arial" w:hAnsi="Arial" w:eastAsia="宋体" w:cs="Arial"/>
          <w:bCs/>
          <w:szCs w:val="24"/>
        </w:rPr>
        <w:t>相关标准或者产品技术条件</w:t>
      </w:r>
    </w:p>
    <w:p w14:paraId="4602399F">
      <w:pPr>
        <w:pStyle w:val="34"/>
        <w:spacing w:line="440" w:lineRule="atLeast"/>
        <w:ind w:firstLine="488"/>
        <w:rPr>
          <w:rFonts w:ascii="Arial" w:hAnsi="Arial" w:eastAsia="宋体" w:cs="Arial"/>
          <w:szCs w:val="24"/>
        </w:rPr>
      </w:pPr>
      <w:r>
        <w:rPr>
          <w:rFonts w:hint="eastAsia" w:ascii="Arial" w:hAnsi="Arial" w:eastAsia="宋体" w:cs="Arial"/>
          <w:szCs w:val="24"/>
        </w:rPr>
        <w:t>按照</w:t>
      </w:r>
      <w:r>
        <w:rPr>
          <w:rFonts w:ascii="Arial" w:hAnsi="Arial" w:eastAsia="宋体" w:cs="Arial"/>
          <w:szCs w:val="24"/>
        </w:rPr>
        <w:t>《电梯型式试验规则》（TSG T7007</w:t>
      </w:r>
      <w:r>
        <w:rPr>
          <w:rFonts w:hint="eastAsia" w:ascii="Arial" w:hAnsi="Arial" w:eastAsia="宋体" w:cs="Arial"/>
          <w:szCs w:val="24"/>
        </w:rPr>
        <w:t>—</w:t>
      </w:r>
      <w:r>
        <w:rPr>
          <w:rFonts w:ascii="Arial" w:hAnsi="Arial" w:eastAsia="宋体" w:cs="Arial"/>
          <w:szCs w:val="24"/>
        </w:rPr>
        <w:t>2022）</w:t>
      </w:r>
      <w:r>
        <w:rPr>
          <w:rFonts w:hint="eastAsia" w:ascii="Arial" w:hAnsi="Arial" w:eastAsia="宋体" w:cs="Arial"/>
          <w:szCs w:val="24"/>
        </w:rPr>
        <w:t>附件H6.15.1, H6.16、H6.17、H6.18要求的乘客电梯运行性能指标的企业标准或者产品技术条件。</w:t>
      </w:r>
    </w:p>
    <w:p w14:paraId="12C42789">
      <w:pPr>
        <w:pStyle w:val="34"/>
        <w:spacing w:before="93" w:beforeLines="30" w:line="440" w:lineRule="atLeast"/>
        <w:ind w:firstLine="0" w:firstLineChars="0"/>
        <w:rPr>
          <w:rFonts w:ascii="Arial" w:hAnsi="Arial" w:eastAsia="宋体" w:cs="Arial"/>
          <w:szCs w:val="24"/>
        </w:rPr>
      </w:pPr>
    </w:p>
    <w:sectPr>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B1B09">
    <w:pPr>
      <w:pStyle w:val="12"/>
      <w:jc w:val="center"/>
    </w:pPr>
    <w:r>
      <w:rPr>
        <w:rFonts w:ascii="Arial" w:hAnsi="Arial" w:cs="Arial"/>
        <w:kern w:val="0"/>
      </w:rPr>
      <w:fldChar w:fldCharType="begin"/>
    </w:r>
    <w:r>
      <w:rPr>
        <w:rFonts w:ascii="Arial" w:hAnsi="Arial" w:cs="Arial"/>
        <w:kern w:val="0"/>
      </w:rPr>
      <w:instrText xml:space="preserve"> PAGE </w:instrText>
    </w:r>
    <w:r>
      <w:rPr>
        <w:rFonts w:ascii="Arial" w:hAnsi="Arial" w:cs="Arial"/>
        <w:kern w:val="0"/>
      </w:rPr>
      <w:fldChar w:fldCharType="separate"/>
    </w:r>
    <w:r>
      <w:rPr>
        <w:rFonts w:ascii="Arial" w:hAnsi="Arial" w:cs="Arial"/>
        <w:kern w:val="0"/>
      </w:rPr>
      <w:t>9</w:t>
    </w:r>
    <w:r>
      <w:rPr>
        <w:rFonts w:ascii="Arial" w:hAnsi="Arial" w:cs="Arial"/>
        <w:kern w:val="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1FFF"/>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B26"/>
    <w:rsid w:val="00122CFC"/>
    <w:rsid w:val="001234CC"/>
    <w:rsid w:val="00124116"/>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B4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19C2"/>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17CF6"/>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A71"/>
    <w:rsid w:val="00292D6A"/>
    <w:rsid w:val="00293747"/>
    <w:rsid w:val="0029462E"/>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B25"/>
    <w:rsid w:val="002C02B3"/>
    <w:rsid w:val="002C1382"/>
    <w:rsid w:val="002C1DED"/>
    <w:rsid w:val="002C3883"/>
    <w:rsid w:val="002C3B21"/>
    <w:rsid w:val="002C4EE2"/>
    <w:rsid w:val="002C5938"/>
    <w:rsid w:val="002C5BE2"/>
    <w:rsid w:val="002C642B"/>
    <w:rsid w:val="002C671D"/>
    <w:rsid w:val="002C6D90"/>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403A"/>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00"/>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63C8"/>
    <w:rsid w:val="004365DE"/>
    <w:rsid w:val="0043707D"/>
    <w:rsid w:val="004402D4"/>
    <w:rsid w:val="0044130C"/>
    <w:rsid w:val="004419B3"/>
    <w:rsid w:val="0044373E"/>
    <w:rsid w:val="00443C14"/>
    <w:rsid w:val="00444430"/>
    <w:rsid w:val="00444557"/>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09A"/>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4AE"/>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553A"/>
    <w:rsid w:val="005B641A"/>
    <w:rsid w:val="005B6DDA"/>
    <w:rsid w:val="005B6F14"/>
    <w:rsid w:val="005C0460"/>
    <w:rsid w:val="005C2980"/>
    <w:rsid w:val="005C2E26"/>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4E85"/>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73B"/>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18C"/>
    <w:rsid w:val="00641260"/>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052"/>
    <w:rsid w:val="00664643"/>
    <w:rsid w:val="0066464C"/>
    <w:rsid w:val="00664E58"/>
    <w:rsid w:val="00665987"/>
    <w:rsid w:val="006664F6"/>
    <w:rsid w:val="00666ED7"/>
    <w:rsid w:val="0066748B"/>
    <w:rsid w:val="00667DCD"/>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260"/>
    <w:rsid w:val="00691832"/>
    <w:rsid w:val="00691CB8"/>
    <w:rsid w:val="006925D0"/>
    <w:rsid w:val="006928F5"/>
    <w:rsid w:val="00692AC0"/>
    <w:rsid w:val="00693DB6"/>
    <w:rsid w:val="0069424A"/>
    <w:rsid w:val="00694684"/>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0A52"/>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91E"/>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3DA1"/>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2DE"/>
    <w:rsid w:val="00816633"/>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519"/>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1CC3"/>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9C9"/>
    <w:rsid w:val="00874BA1"/>
    <w:rsid w:val="00874E89"/>
    <w:rsid w:val="00874EEA"/>
    <w:rsid w:val="00875487"/>
    <w:rsid w:val="00875691"/>
    <w:rsid w:val="0087594C"/>
    <w:rsid w:val="00875AB6"/>
    <w:rsid w:val="008760F3"/>
    <w:rsid w:val="00876D3F"/>
    <w:rsid w:val="00876D63"/>
    <w:rsid w:val="00876DF4"/>
    <w:rsid w:val="0087725C"/>
    <w:rsid w:val="00877D36"/>
    <w:rsid w:val="00877ED8"/>
    <w:rsid w:val="008802FA"/>
    <w:rsid w:val="0088057C"/>
    <w:rsid w:val="008807CB"/>
    <w:rsid w:val="00881748"/>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E70"/>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65C"/>
    <w:rsid w:val="00945909"/>
    <w:rsid w:val="009459BF"/>
    <w:rsid w:val="00945D07"/>
    <w:rsid w:val="00945D80"/>
    <w:rsid w:val="009476B0"/>
    <w:rsid w:val="0094773F"/>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8FC"/>
    <w:rsid w:val="00967A0B"/>
    <w:rsid w:val="00967E02"/>
    <w:rsid w:val="0097068F"/>
    <w:rsid w:val="00971DE4"/>
    <w:rsid w:val="00971E48"/>
    <w:rsid w:val="00971F42"/>
    <w:rsid w:val="00972A7D"/>
    <w:rsid w:val="0097391F"/>
    <w:rsid w:val="00973ACE"/>
    <w:rsid w:val="00974094"/>
    <w:rsid w:val="009749EF"/>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F02D0"/>
    <w:rsid w:val="009F0FCA"/>
    <w:rsid w:val="009F1791"/>
    <w:rsid w:val="009F1A44"/>
    <w:rsid w:val="009F2779"/>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3FEF"/>
    <w:rsid w:val="00A14510"/>
    <w:rsid w:val="00A14D10"/>
    <w:rsid w:val="00A159ED"/>
    <w:rsid w:val="00A15DB5"/>
    <w:rsid w:val="00A16887"/>
    <w:rsid w:val="00A17A75"/>
    <w:rsid w:val="00A17E15"/>
    <w:rsid w:val="00A17EEB"/>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12B"/>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663C"/>
    <w:rsid w:val="00AD7183"/>
    <w:rsid w:val="00AD7403"/>
    <w:rsid w:val="00AD7AD4"/>
    <w:rsid w:val="00AE001F"/>
    <w:rsid w:val="00AE0E2F"/>
    <w:rsid w:val="00AE10E3"/>
    <w:rsid w:val="00AE1813"/>
    <w:rsid w:val="00AE2752"/>
    <w:rsid w:val="00AE2E55"/>
    <w:rsid w:val="00AE3046"/>
    <w:rsid w:val="00AE3822"/>
    <w:rsid w:val="00AE46BA"/>
    <w:rsid w:val="00AE46EE"/>
    <w:rsid w:val="00AE50FD"/>
    <w:rsid w:val="00AE5383"/>
    <w:rsid w:val="00AE5689"/>
    <w:rsid w:val="00AE6B95"/>
    <w:rsid w:val="00AE6EF9"/>
    <w:rsid w:val="00AE6F61"/>
    <w:rsid w:val="00AE73CC"/>
    <w:rsid w:val="00AE7B03"/>
    <w:rsid w:val="00AF0484"/>
    <w:rsid w:val="00AF0AFD"/>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3E52"/>
    <w:rsid w:val="00B643B3"/>
    <w:rsid w:val="00B64E45"/>
    <w:rsid w:val="00B663A7"/>
    <w:rsid w:val="00B669DF"/>
    <w:rsid w:val="00B66E0C"/>
    <w:rsid w:val="00B67896"/>
    <w:rsid w:val="00B678A7"/>
    <w:rsid w:val="00B70327"/>
    <w:rsid w:val="00B7086F"/>
    <w:rsid w:val="00B7095F"/>
    <w:rsid w:val="00B70A01"/>
    <w:rsid w:val="00B70D95"/>
    <w:rsid w:val="00B71A68"/>
    <w:rsid w:val="00B721B1"/>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6DA"/>
    <w:rsid w:val="00B96C88"/>
    <w:rsid w:val="00B97609"/>
    <w:rsid w:val="00BA0609"/>
    <w:rsid w:val="00BA14F6"/>
    <w:rsid w:val="00BA17CC"/>
    <w:rsid w:val="00BA1937"/>
    <w:rsid w:val="00BA1B1C"/>
    <w:rsid w:val="00BA2432"/>
    <w:rsid w:val="00BA24D7"/>
    <w:rsid w:val="00BA296E"/>
    <w:rsid w:val="00BA2B35"/>
    <w:rsid w:val="00BA37FC"/>
    <w:rsid w:val="00BA3D16"/>
    <w:rsid w:val="00BA3FC4"/>
    <w:rsid w:val="00BA4A5F"/>
    <w:rsid w:val="00BA4B2F"/>
    <w:rsid w:val="00BA59E0"/>
    <w:rsid w:val="00BA5E83"/>
    <w:rsid w:val="00BA6099"/>
    <w:rsid w:val="00BB0236"/>
    <w:rsid w:val="00BB033C"/>
    <w:rsid w:val="00BB1586"/>
    <w:rsid w:val="00BB22A4"/>
    <w:rsid w:val="00BB24BD"/>
    <w:rsid w:val="00BB2506"/>
    <w:rsid w:val="00BB2AED"/>
    <w:rsid w:val="00BB3C87"/>
    <w:rsid w:val="00BB3CFA"/>
    <w:rsid w:val="00BB3F11"/>
    <w:rsid w:val="00BB41BF"/>
    <w:rsid w:val="00BB42D0"/>
    <w:rsid w:val="00BB4578"/>
    <w:rsid w:val="00BB4B7A"/>
    <w:rsid w:val="00BB4F3D"/>
    <w:rsid w:val="00BB56C4"/>
    <w:rsid w:val="00BB5AD1"/>
    <w:rsid w:val="00BB5F4A"/>
    <w:rsid w:val="00BB67B6"/>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2892"/>
    <w:rsid w:val="00BF2DFC"/>
    <w:rsid w:val="00BF4746"/>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1E"/>
    <w:rsid w:val="00C50533"/>
    <w:rsid w:val="00C51716"/>
    <w:rsid w:val="00C5186D"/>
    <w:rsid w:val="00C531F0"/>
    <w:rsid w:val="00C5323A"/>
    <w:rsid w:val="00C5397D"/>
    <w:rsid w:val="00C544CB"/>
    <w:rsid w:val="00C563A5"/>
    <w:rsid w:val="00C566B5"/>
    <w:rsid w:val="00C5707E"/>
    <w:rsid w:val="00C570D7"/>
    <w:rsid w:val="00C57955"/>
    <w:rsid w:val="00C6049B"/>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CA9"/>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641"/>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E08"/>
    <w:rsid w:val="00CC502D"/>
    <w:rsid w:val="00CC551C"/>
    <w:rsid w:val="00CC65D8"/>
    <w:rsid w:val="00CC6854"/>
    <w:rsid w:val="00CC690F"/>
    <w:rsid w:val="00CC749A"/>
    <w:rsid w:val="00CC768F"/>
    <w:rsid w:val="00CC7C1B"/>
    <w:rsid w:val="00CC7DB8"/>
    <w:rsid w:val="00CD00D6"/>
    <w:rsid w:val="00CD17CE"/>
    <w:rsid w:val="00CD2678"/>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82"/>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392"/>
    <w:rsid w:val="00D15590"/>
    <w:rsid w:val="00D1696E"/>
    <w:rsid w:val="00D16C7C"/>
    <w:rsid w:val="00D16CC8"/>
    <w:rsid w:val="00D16CDA"/>
    <w:rsid w:val="00D1708C"/>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542"/>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86FE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0B5"/>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43C9"/>
    <w:rsid w:val="00DF5AA3"/>
    <w:rsid w:val="00DF5B15"/>
    <w:rsid w:val="00DF64F1"/>
    <w:rsid w:val="00DF7065"/>
    <w:rsid w:val="00DF7823"/>
    <w:rsid w:val="00DF7FF4"/>
    <w:rsid w:val="00E00A33"/>
    <w:rsid w:val="00E00C2D"/>
    <w:rsid w:val="00E00D1C"/>
    <w:rsid w:val="00E01B8F"/>
    <w:rsid w:val="00E01CA8"/>
    <w:rsid w:val="00E01DD3"/>
    <w:rsid w:val="00E01EB8"/>
    <w:rsid w:val="00E0256F"/>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5A0"/>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1F94"/>
    <w:rsid w:val="00E82310"/>
    <w:rsid w:val="00E82DC8"/>
    <w:rsid w:val="00E8333B"/>
    <w:rsid w:val="00E83392"/>
    <w:rsid w:val="00E8347A"/>
    <w:rsid w:val="00E83BC0"/>
    <w:rsid w:val="00E83D95"/>
    <w:rsid w:val="00E843DA"/>
    <w:rsid w:val="00E85F43"/>
    <w:rsid w:val="00E873C0"/>
    <w:rsid w:val="00E91A65"/>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E77AB"/>
    <w:rsid w:val="00EF05D9"/>
    <w:rsid w:val="00EF07DC"/>
    <w:rsid w:val="00EF123D"/>
    <w:rsid w:val="00EF1460"/>
    <w:rsid w:val="00EF1B50"/>
    <w:rsid w:val="00EF2645"/>
    <w:rsid w:val="00EF2657"/>
    <w:rsid w:val="00EF30E9"/>
    <w:rsid w:val="00EF3D72"/>
    <w:rsid w:val="00EF46E2"/>
    <w:rsid w:val="00EF5371"/>
    <w:rsid w:val="00EF6320"/>
    <w:rsid w:val="00EF6C3D"/>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2F89"/>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193"/>
    <w:rsid w:val="00F26735"/>
    <w:rsid w:val="00F26A81"/>
    <w:rsid w:val="00F27020"/>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ADA"/>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C30"/>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6007"/>
    <w:rsid w:val="00F96B19"/>
    <w:rsid w:val="00F96F42"/>
    <w:rsid w:val="00F97528"/>
    <w:rsid w:val="00F97709"/>
    <w:rsid w:val="00F979E2"/>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928"/>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3A5D"/>
    <w:rsid w:val="00FE46D9"/>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117664D1"/>
    <w:rsid w:val="183027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uiPriority w:val="0"/>
    <w:rPr>
      <w:b/>
      <w:bCs/>
      <w:kern w:val="44"/>
      <w:sz w:val="44"/>
      <w:szCs w:val="44"/>
    </w:rPr>
  </w:style>
  <w:style w:type="character" w:customStyle="1" w:styleId="20">
    <w:name w:val="标题 2 字符"/>
    <w:link w:val="3"/>
    <w:uiPriority w:val="0"/>
    <w:rPr>
      <w:b/>
      <w:bCs/>
      <w:kern w:val="2"/>
      <w:sz w:val="30"/>
      <w:szCs w:val="24"/>
    </w:rPr>
  </w:style>
  <w:style w:type="character" w:customStyle="1" w:styleId="21">
    <w:name w:val="标题 3 字符"/>
    <w:basedOn w:val="17"/>
    <w:link w:val="4"/>
    <w:qFormat/>
    <w:uiPriority w:val="0"/>
    <w:rPr>
      <w:rFonts w:ascii="宋体" w:hAnsi="宋体" w:cs="宋体"/>
      <w:b/>
      <w:bCs/>
      <w:kern w:val="2"/>
      <w:sz w:val="32"/>
      <w:szCs w:val="32"/>
    </w:rPr>
  </w:style>
  <w:style w:type="character" w:customStyle="1" w:styleId="22">
    <w:name w:val="标题 4 字符"/>
    <w:basedOn w:val="17"/>
    <w:link w:val="5"/>
    <w:qFormat/>
    <w:uiPriority w:val="0"/>
    <w:rPr>
      <w:rFonts w:ascii="Arial" w:hAnsi="Arial" w:eastAsia="黑体" w:cs="宋体"/>
      <w:b/>
      <w:bCs/>
      <w:kern w:val="2"/>
      <w:sz w:val="28"/>
      <w:szCs w:val="28"/>
    </w:rPr>
  </w:style>
  <w:style w:type="character" w:customStyle="1" w:styleId="23">
    <w:name w:val="标题 5 字符"/>
    <w:basedOn w:val="17"/>
    <w:link w:val="6"/>
    <w:uiPriority w:val="0"/>
    <w:rPr>
      <w:rFonts w:ascii="宋体" w:hAnsi="宋体" w:cs="宋体"/>
      <w:b/>
      <w:bCs/>
      <w:kern w:val="2"/>
      <w:sz w:val="28"/>
      <w:szCs w:val="28"/>
    </w:rPr>
  </w:style>
  <w:style w:type="character" w:customStyle="1" w:styleId="24">
    <w:name w:val="标题 6 字符"/>
    <w:basedOn w:val="17"/>
    <w:link w:val="7"/>
    <w:uiPriority w:val="0"/>
    <w:rPr>
      <w:rFonts w:ascii="Arial" w:hAnsi="Arial" w:eastAsia="黑体" w:cs="宋体"/>
      <w:b/>
      <w:bCs/>
      <w:kern w:val="2"/>
      <w:sz w:val="24"/>
      <w:szCs w:val="21"/>
    </w:rPr>
  </w:style>
  <w:style w:type="character" w:customStyle="1" w:styleId="25">
    <w:name w:val="标题 7 字符"/>
    <w:basedOn w:val="17"/>
    <w:link w:val="8"/>
    <w:qFormat/>
    <w:uiPriority w:val="0"/>
    <w:rPr>
      <w:rFonts w:ascii="宋体" w:hAnsi="宋体" w:cs="宋体"/>
      <w:b/>
      <w:bCs/>
      <w:kern w:val="2"/>
      <w:sz w:val="24"/>
      <w:szCs w:val="21"/>
    </w:rPr>
  </w:style>
  <w:style w:type="character" w:customStyle="1" w:styleId="26">
    <w:name w:val="标题 8 字符"/>
    <w:basedOn w:val="17"/>
    <w:link w:val="9"/>
    <w:uiPriority w:val="0"/>
    <w:rPr>
      <w:rFonts w:ascii="Arial" w:hAnsi="Arial" w:eastAsia="黑体" w:cs="宋体"/>
      <w:kern w:val="2"/>
      <w:sz w:val="24"/>
      <w:szCs w:val="21"/>
    </w:rPr>
  </w:style>
  <w:style w:type="character" w:customStyle="1" w:styleId="27">
    <w:name w:val="标题 9 字符"/>
    <w:basedOn w:val="17"/>
    <w:link w:val="10"/>
    <w:uiPriority w:val="0"/>
    <w:rPr>
      <w:rFonts w:ascii="Arial" w:hAnsi="Arial" w:eastAsia="黑体" w:cs="宋体"/>
      <w:kern w:val="2"/>
      <w:sz w:val="21"/>
      <w:szCs w:val="21"/>
    </w:rPr>
  </w:style>
  <w:style w:type="character" w:customStyle="1" w:styleId="28">
    <w:name w:val="标题 字符"/>
    <w:basedOn w:val="17"/>
    <w:link w:val="14"/>
    <w:qFormat/>
    <w:uiPriority w:val="0"/>
    <w:rPr>
      <w:rFonts w:ascii="Cambria" w:hAnsi="Cambria"/>
      <w:b/>
      <w:bCs/>
      <w:kern w:val="2"/>
      <w:sz w:val="32"/>
      <w:szCs w:val="32"/>
    </w:rPr>
  </w:style>
  <w:style w:type="character" w:customStyle="1" w:styleId="29">
    <w:name w:val="标题 Char1"/>
    <w:qFormat/>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qFormat/>
    <w:uiPriority w:val="99"/>
    <w:rPr>
      <w:kern w:val="2"/>
      <w:sz w:val="18"/>
      <w:szCs w:val="18"/>
    </w:rPr>
  </w:style>
  <w:style w:type="character" w:customStyle="1" w:styleId="33">
    <w:name w:val="页脚 字符"/>
    <w:basedOn w:val="17"/>
    <w:link w:val="12"/>
    <w:qFormat/>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qFormat/>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D1A3A-FF60-4694-8D88-80ACB06A2AAE}">
  <ds:schemaRefs/>
</ds:datastoreItem>
</file>

<file path=docProps/app.xml><?xml version="1.0" encoding="utf-8"?>
<Properties xmlns="http://schemas.openxmlformats.org/officeDocument/2006/extended-properties" xmlns:vt="http://schemas.openxmlformats.org/officeDocument/2006/docPropsVTypes">
  <Template>Normal</Template>
  <Pages>5</Pages>
  <Words>4030</Words>
  <Characters>4277</Characters>
  <Lines>34</Lines>
  <Paragraphs>9</Paragraphs>
  <TotalTime>43</TotalTime>
  <ScaleCrop>false</ScaleCrop>
  <LinksUpToDate>false</LinksUpToDate>
  <CharactersWithSpaces>4329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2022-04-23T01:50:00Z</dcterms:created>
  <dc:creator>WangHeng</dc:creator>
  <cp:lastModifiedBy>王衡</cp:lastModifiedBy>
  <dcterms:modified xsi:type="dcterms:W3CDTF">2024-09-24T06:37:29Z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1C3760DE6AC04F17B6CE54C5F485DE28</vt:lpwstr>
  </property>
</Properties>
</file>